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3AE4A" w14:textId="77777777" w:rsidR="00DA7C56" w:rsidRDefault="00DA7C56" w:rsidP="00D614D4">
      <w:pPr>
        <w:pStyle w:val="Heading2"/>
        <w:shd w:val="clear" w:color="auto" w:fill="FFFFFF"/>
        <w:spacing w:before="0"/>
        <w:textAlignment w:val="baseline"/>
        <w:rPr>
          <w:rFonts w:ascii="Arial" w:hAnsi="Arial" w:cs="Arial"/>
          <w:b/>
          <w:color w:val="0B0C0C"/>
          <w:sz w:val="24"/>
          <w:szCs w:val="24"/>
          <w:u w:val="single"/>
        </w:rPr>
      </w:pPr>
      <w:bookmarkStart w:id="0" w:name="_Pupil_premium_report"/>
      <w:bookmarkStart w:id="1" w:name="PPR"/>
      <w:bookmarkEnd w:id="0"/>
    </w:p>
    <w:p w14:paraId="7FD69629" w14:textId="7D18C4D2" w:rsidR="00D614D4" w:rsidRPr="00804CA6" w:rsidRDefault="00D614D4" w:rsidP="00D614D4">
      <w:pPr>
        <w:pStyle w:val="Heading2"/>
        <w:shd w:val="clear" w:color="auto" w:fill="FFFFFF"/>
        <w:spacing w:before="0"/>
        <w:textAlignment w:val="baseline"/>
        <w:rPr>
          <w:rFonts w:ascii="Arial" w:hAnsi="Arial" w:cs="Arial"/>
          <w:b/>
          <w:color w:val="0B0C0C"/>
          <w:sz w:val="24"/>
          <w:szCs w:val="24"/>
          <w:u w:val="single"/>
        </w:rPr>
      </w:pPr>
      <w:r w:rsidRPr="00804CA6">
        <w:rPr>
          <w:rFonts w:ascii="Arial" w:hAnsi="Arial" w:cs="Arial"/>
          <w:b/>
          <w:color w:val="0B0C0C"/>
          <w:sz w:val="24"/>
          <w:szCs w:val="24"/>
          <w:u w:val="single"/>
        </w:rPr>
        <w:t>What catch-up funding is for</w:t>
      </w:r>
    </w:p>
    <w:p w14:paraId="19A92703" w14:textId="5235C183" w:rsidR="00804CA6" w:rsidRDefault="00D614D4" w:rsidP="00804CA6">
      <w:pPr>
        <w:pStyle w:val="NormalWeb"/>
        <w:shd w:val="clear" w:color="auto" w:fill="FFFFFF"/>
        <w:spacing w:before="300" w:beforeAutospacing="0" w:after="300" w:afterAutospacing="0"/>
        <w:rPr>
          <w:rFonts w:ascii="Arial" w:hAnsi="Arial" w:cs="Arial"/>
          <w:color w:val="0B0C0C"/>
        </w:rPr>
      </w:pPr>
      <w:r w:rsidRPr="00D614D4">
        <w:rPr>
          <w:rFonts w:ascii="Arial" w:hAnsi="Arial" w:cs="Arial"/>
          <w:color w:val="0B0C0C"/>
        </w:rPr>
        <w:t>The government announced £1 billion of funding to support children and young people to catch up lost time after school closure. This is especially important for the most vulnerable and disadvantaged bac</w:t>
      </w:r>
      <w:r w:rsidR="00804CA6">
        <w:rPr>
          <w:rFonts w:ascii="Arial" w:hAnsi="Arial" w:cs="Arial"/>
          <w:color w:val="0B0C0C"/>
        </w:rPr>
        <w:t xml:space="preserve">kgrounds. This funding includes </w:t>
      </w:r>
      <w:r w:rsidRPr="00D614D4">
        <w:rPr>
          <w:rFonts w:ascii="Arial" w:hAnsi="Arial" w:cs="Arial"/>
          <w:color w:val="0B0C0C"/>
        </w:rPr>
        <w:t>a one-off universal £650 million catch up premium for the 2020 to 2021 academic year to ensure that schools have the support they need to help all pupils make up for lost teaching time</w:t>
      </w:r>
      <w:r w:rsidR="00804CA6">
        <w:rPr>
          <w:rFonts w:ascii="Arial" w:hAnsi="Arial" w:cs="Arial"/>
          <w:color w:val="0B0C0C"/>
        </w:rPr>
        <w:t>.</w:t>
      </w:r>
    </w:p>
    <w:p w14:paraId="53DFEB83" w14:textId="730ECBB0" w:rsidR="00D614D4" w:rsidRPr="00804CA6" w:rsidRDefault="00D614D4" w:rsidP="00804CA6">
      <w:pPr>
        <w:pStyle w:val="NormalWeb"/>
        <w:shd w:val="clear" w:color="auto" w:fill="FFFFFF"/>
        <w:spacing w:before="300" w:beforeAutospacing="0" w:after="300" w:afterAutospacing="0"/>
        <w:rPr>
          <w:rFonts w:ascii="Arial" w:hAnsi="Arial" w:cs="Arial"/>
          <w:b/>
          <w:color w:val="0B0C0C"/>
          <w:u w:val="single"/>
        </w:rPr>
      </w:pPr>
      <w:r w:rsidRPr="00804CA6">
        <w:rPr>
          <w:rFonts w:ascii="Arial" w:hAnsi="Arial" w:cs="Arial"/>
          <w:b/>
          <w:color w:val="0B0C0C"/>
          <w:u w:val="single"/>
        </w:rPr>
        <w:t>Funding allocations</w:t>
      </w:r>
    </w:p>
    <w:p w14:paraId="505AD3D6" w14:textId="77777777" w:rsidR="00D614D4" w:rsidRPr="00D614D4" w:rsidRDefault="00D614D4" w:rsidP="00D614D4">
      <w:pPr>
        <w:pStyle w:val="NormalWeb"/>
        <w:shd w:val="clear" w:color="auto" w:fill="FFFFFF"/>
        <w:spacing w:before="300" w:beforeAutospacing="0" w:after="300" w:afterAutospacing="0"/>
        <w:rPr>
          <w:rFonts w:ascii="Arial" w:hAnsi="Arial" w:cs="Arial"/>
          <w:color w:val="0B0C0C"/>
        </w:rPr>
      </w:pPr>
      <w:r w:rsidRPr="00D614D4">
        <w:rPr>
          <w:rFonts w:ascii="Arial" w:hAnsi="Arial" w:cs="Arial"/>
          <w:color w:val="0B0C0C"/>
        </w:rPr>
        <w:t>School allocations will be calculated on a per pupil basis.</w:t>
      </w:r>
    </w:p>
    <w:p w14:paraId="2D668CD6" w14:textId="77777777" w:rsidR="00804CA6" w:rsidRDefault="00D614D4" w:rsidP="00804CA6">
      <w:pPr>
        <w:pStyle w:val="NormalWeb"/>
        <w:shd w:val="clear" w:color="auto" w:fill="FFFFFF"/>
        <w:spacing w:before="300" w:beforeAutospacing="0" w:after="300" w:afterAutospacing="0"/>
        <w:rPr>
          <w:rFonts w:ascii="Arial" w:hAnsi="Arial" w:cs="Arial"/>
          <w:color w:val="0B0C0C"/>
        </w:rPr>
      </w:pPr>
      <w:r w:rsidRPr="00D614D4">
        <w:rPr>
          <w:rFonts w:ascii="Arial" w:hAnsi="Arial" w:cs="Arial"/>
          <w:color w:val="0B0C0C"/>
        </w:rPr>
        <w:t>Mainstream school will get £80 for each pupil in from reception to year 11 inclusive.</w:t>
      </w:r>
    </w:p>
    <w:p w14:paraId="1F05ADDA" w14:textId="2BC7DC98" w:rsidR="00D614D4" w:rsidRPr="00804CA6" w:rsidRDefault="00D614D4" w:rsidP="00804CA6">
      <w:pPr>
        <w:pStyle w:val="NormalWeb"/>
        <w:shd w:val="clear" w:color="auto" w:fill="FFFFFF"/>
        <w:spacing w:before="300" w:beforeAutospacing="0" w:after="300" w:afterAutospacing="0"/>
        <w:rPr>
          <w:rFonts w:ascii="Arial" w:hAnsi="Arial" w:cs="Arial"/>
          <w:b/>
          <w:color w:val="0B0C0C"/>
          <w:u w:val="single"/>
        </w:rPr>
      </w:pPr>
      <w:r w:rsidRPr="00804CA6">
        <w:rPr>
          <w:rFonts w:ascii="Arial" w:hAnsi="Arial" w:cs="Arial"/>
          <w:b/>
          <w:color w:val="0B0C0C"/>
          <w:u w:val="single"/>
        </w:rPr>
        <w:t>Using catch-up funding</w:t>
      </w:r>
    </w:p>
    <w:p w14:paraId="37EB5678" w14:textId="77777777" w:rsidR="00D614D4" w:rsidRPr="00D614D4" w:rsidRDefault="00D614D4" w:rsidP="00D614D4">
      <w:pPr>
        <w:pStyle w:val="NormalWeb"/>
        <w:shd w:val="clear" w:color="auto" w:fill="FFFFFF"/>
        <w:spacing w:before="0" w:beforeAutospacing="0" w:after="0" w:afterAutospacing="0"/>
        <w:rPr>
          <w:rFonts w:ascii="Arial" w:hAnsi="Arial" w:cs="Arial"/>
          <w:color w:val="0B0C0C"/>
        </w:rPr>
      </w:pPr>
      <w:r w:rsidRPr="00D614D4">
        <w:rPr>
          <w:rFonts w:ascii="Arial" w:hAnsi="Arial" w:cs="Arial"/>
          <w:color w:val="0B0C0C"/>
        </w:rPr>
        <w:t>Schools should use this funding for specific activities to support their pupils to catch up for lost teaching over the previous months, in line with the curriculum expectations for the next academic year in </w:t>
      </w:r>
      <w:hyperlink r:id="rId8" w:anchor="section-3-curriculum-behaviour-and-pastoral-support" w:history="1">
        <w:r w:rsidRPr="00D614D4">
          <w:rPr>
            <w:rStyle w:val="Hyperlink"/>
            <w:rFonts w:ascii="Arial" w:hAnsi="Arial" w:cs="Arial"/>
            <w:color w:val="4C2C92"/>
            <w:bdr w:val="none" w:sz="0" w:space="0" w:color="auto" w:frame="1"/>
          </w:rPr>
          <w:t>actions for schools during the coronavirus outbreak</w:t>
        </w:r>
      </w:hyperlink>
      <w:r w:rsidRPr="00D614D4">
        <w:rPr>
          <w:rFonts w:ascii="Arial" w:hAnsi="Arial" w:cs="Arial"/>
          <w:color w:val="0B0C0C"/>
        </w:rPr>
        <w:t>.</w:t>
      </w:r>
    </w:p>
    <w:p w14:paraId="034AC0B9" w14:textId="3BC7CA1F" w:rsidR="00804CA6" w:rsidRDefault="00D614D4" w:rsidP="00D614D4">
      <w:pPr>
        <w:pStyle w:val="NormalWeb"/>
        <w:shd w:val="clear" w:color="auto" w:fill="FFFFFF"/>
        <w:spacing w:before="300" w:beforeAutospacing="0" w:after="300" w:afterAutospacing="0"/>
        <w:rPr>
          <w:rFonts w:ascii="Arial" w:hAnsi="Arial" w:cs="Arial"/>
          <w:color w:val="0B0C0C"/>
        </w:rPr>
      </w:pPr>
      <w:r w:rsidRPr="00D614D4">
        <w:rPr>
          <w:rFonts w:ascii="Arial" w:hAnsi="Arial" w:cs="Arial"/>
          <w:color w:val="0B0C0C"/>
        </w:rPr>
        <w:t>While schools can use their funding in a way that suits their cohort and circumstances, they are expected to use this funding for specific activities which will help pupils catch up on missed education.</w:t>
      </w:r>
    </w:p>
    <w:p w14:paraId="7DC50D74" w14:textId="6FE0243A" w:rsidR="00804CA6" w:rsidRPr="00D614D4" w:rsidRDefault="00804CA6" w:rsidP="00D614D4">
      <w:pPr>
        <w:pStyle w:val="NormalWeb"/>
        <w:shd w:val="clear" w:color="auto" w:fill="FFFFFF"/>
        <w:spacing w:before="300" w:beforeAutospacing="0" w:after="300" w:afterAutospacing="0"/>
        <w:rPr>
          <w:rFonts w:ascii="Arial" w:hAnsi="Arial" w:cs="Arial"/>
          <w:color w:val="0B0C0C"/>
        </w:rPr>
      </w:pPr>
      <w:r>
        <w:rPr>
          <w:rFonts w:ascii="Arial" w:hAnsi="Arial" w:cs="Arial"/>
          <w:color w:val="0B0C0C"/>
        </w:rPr>
        <w:t xml:space="preserve">The following plan </w:t>
      </w:r>
      <w:r w:rsidR="00D62720">
        <w:rPr>
          <w:rFonts w:ascii="Arial" w:hAnsi="Arial" w:cs="Arial"/>
          <w:color w:val="0B0C0C"/>
        </w:rPr>
        <w:t xml:space="preserve">only </w:t>
      </w:r>
      <w:r>
        <w:rPr>
          <w:rFonts w:ascii="Arial" w:hAnsi="Arial" w:cs="Arial"/>
          <w:color w:val="0B0C0C"/>
        </w:rPr>
        <w:t xml:space="preserve">outlines how </w:t>
      </w:r>
      <w:r w:rsidR="00D62720">
        <w:rPr>
          <w:rFonts w:ascii="Arial" w:hAnsi="Arial" w:cs="Arial"/>
          <w:color w:val="0B0C0C"/>
        </w:rPr>
        <w:t>t</w:t>
      </w:r>
      <w:r>
        <w:rPr>
          <w:rFonts w:ascii="Arial" w:hAnsi="Arial" w:cs="Arial"/>
          <w:color w:val="0B0C0C"/>
        </w:rPr>
        <w:t>his additional funding w</w:t>
      </w:r>
      <w:r w:rsidR="00D62720">
        <w:rPr>
          <w:rFonts w:ascii="Arial" w:hAnsi="Arial" w:cs="Arial"/>
          <w:color w:val="0B0C0C"/>
        </w:rPr>
        <w:t>ill be spent to supp</w:t>
      </w:r>
      <w:r>
        <w:rPr>
          <w:rFonts w:ascii="Arial" w:hAnsi="Arial" w:cs="Arial"/>
          <w:color w:val="0B0C0C"/>
        </w:rPr>
        <w:t xml:space="preserve">ort pupils in catching up on missed </w:t>
      </w:r>
      <w:r w:rsidR="00D62720">
        <w:rPr>
          <w:rFonts w:ascii="Arial" w:hAnsi="Arial" w:cs="Arial"/>
          <w:color w:val="0B0C0C"/>
        </w:rPr>
        <w:t>learning. It does not specify all the strategies being used in school.</w:t>
      </w:r>
    </w:p>
    <w:p w14:paraId="21B43C50" w14:textId="77777777" w:rsidR="00D614D4" w:rsidRDefault="00D614D4" w:rsidP="00D614D4">
      <w:pPr>
        <w:jc w:val="both"/>
      </w:pPr>
    </w:p>
    <w:p w14:paraId="6A8F4EB4" w14:textId="77777777" w:rsidR="00D614D4" w:rsidRDefault="00D614D4" w:rsidP="00D614D4">
      <w:pPr>
        <w:jc w:val="both"/>
      </w:pPr>
    </w:p>
    <w:p w14:paraId="0FADF7EC" w14:textId="77777777" w:rsidR="00D614D4" w:rsidRDefault="00D614D4" w:rsidP="00D614D4">
      <w:pPr>
        <w:jc w:val="both"/>
      </w:pPr>
    </w:p>
    <w:p w14:paraId="25E366B7" w14:textId="77777777" w:rsidR="00D614D4" w:rsidRDefault="00D614D4" w:rsidP="00D614D4">
      <w:pPr>
        <w:jc w:val="both"/>
      </w:pPr>
    </w:p>
    <w:p w14:paraId="0F54A3E0" w14:textId="77777777" w:rsidR="00DA7C56" w:rsidRDefault="00DA7C56" w:rsidP="00D614D4">
      <w:pPr>
        <w:jc w:val="both"/>
      </w:pPr>
    </w:p>
    <w:p w14:paraId="784D1A11" w14:textId="5FA9C76E" w:rsidR="0089264A" w:rsidRPr="00DA7C56" w:rsidRDefault="000D798B" w:rsidP="00D614D4">
      <w:pPr>
        <w:jc w:val="both"/>
        <w:rPr>
          <w:u w:val="single"/>
        </w:rPr>
      </w:pPr>
      <w:r w:rsidRPr="00DA7C56">
        <w:rPr>
          <w:rFonts w:ascii="Arial" w:eastAsiaTheme="minorEastAsia" w:hAnsi="Arial" w:cs="Arial"/>
          <w:b/>
          <w:sz w:val="28"/>
          <w:szCs w:val="20"/>
          <w:u w:val="single"/>
          <w:lang w:val="en-US" w:eastAsia="ja-JP"/>
        </w:rPr>
        <w:lastRenderedPageBreak/>
        <w:t>Catch-up</w:t>
      </w:r>
      <w:r w:rsidR="007C4734" w:rsidRPr="00DA7C56">
        <w:rPr>
          <w:rFonts w:ascii="Arial" w:eastAsiaTheme="minorEastAsia" w:hAnsi="Arial" w:cs="Arial"/>
          <w:b/>
          <w:sz w:val="28"/>
          <w:szCs w:val="20"/>
          <w:u w:val="single"/>
          <w:lang w:val="en-US" w:eastAsia="ja-JP"/>
        </w:rPr>
        <w:t xml:space="preserve"> </w:t>
      </w:r>
      <w:r w:rsidRPr="00DA7C56">
        <w:rPr>
          <w:rFonts w:ascii="Arial" w:eastAsiaTheme="minorEastAsia" w:hAnsi="Arial" w:cs="Arial"/>
          <w:b/>
          <w:sz w:val="28"/>
          <w:szCs w:val="20"/>
          <w:u w:val="single"/>
          <w:lang w:val="en-US" w:eastAsia="ja-JP"/>
        </w:rPr>
        <w:t>plan</w:t>
      </w:r>
    </w:p>
    <w:tbl>
      <w:tblPr>
        <w:tblStyle w:val="TableGrid"/>
        <w:tblW w:w="15309" w:type="dxa"/>
        <w:tblInd w:w="-668" w:type="dxa"/>
        <w:tblLook w:val="04A0" w:firstRow="1" w:lastRow="0" w:firstColumn="1" w:lastColumn="0" w:noHBand="0" w:noVBand="1"/>
      </w:tblPr>
      <w:tblGrid>
        <w:gridCol w:w="3705"/>
        <w:gridCol w:w="1336"/>
        <w:gridCol w:w="2374"/>
        <w:gridCol w:w="1038"/>
        <w:gridCol w:w="2523"/>
        <w:gridCol w:w="890"/>
        <w:gridCol w:w="2374"/>
        <w:gridCol w:w="1069"/>
      </w:tblGrid>
      <w:tr w:rsidR="008B1C63" w14:paraId="252C81D9" w14:textId="77777777" w:rsidTr="00D614D4">
        <w:trPr>
          <w:trHeight w:val="437"/>
        </w:trPr>
        <w:tc>
          <w:tcPr>
            <w:tcW w:w="3705" w:type="dxa"/>
            <w:shd w:val="clear" w:color="auto" w:fill="347186"/>
            <w:vAlign w:val="center"/>
          </w:tcPr>
          <w:bookmarkEnd w:id="1"/>
          <w:p w14:paraId="41EBDF01" w14:textId="030075F7" w:rsidR="008B1C63" w:rsidRPr="008B1C63" w:rsidRDefault="008B1C63"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School name</w:t>
            </w:r>
            <w:r w:rsidR="00C047A7">
              <w:rPr>
                <w:rFonts w:ascii="Arial" w:eastAsiaTheme="minorEastAsia" w:hAnsi="Arial" w:cs="Arial"/>
                <w:b/>
                <w:color w:val="FFFFFF" w:themeColor="background1"/>
                <w:lang w:val="en-US" w:eastAsia="ja-JP"/>
              </w:rPr>
              <w:t>:</w:t>
            </w:r>
            <w:r w:rsidRPr="008B1C63">
              <w:rPr>
                <w:rFonts w:ascii="Arial" w:eastAsiaTheme="minorEastAsia" w:hAnsi="Arial" w:cs="Arial"/>
                <w:b/>
                <w:color w:val="FFFFFF" w:themeColor="background1"/>
                <w:lang w:val="en-US" w:eastAsia="ja-JP"/>
              </w:rPr>
              <w:t xml:space="preserve"> </w:t>
            </w:r>
          </w:p>
        </w:tc>
        <w:tc>
          <w:tcPr>
            <w:tcW w:w="11604" w:type="dxa"/>
            <w:gridSpan w:val="7"/>
            <w:vAlign w:val="center"/>
          </w:tcPr>
          <w:p w14:paraId="10D70D78" w14:textId="77CC6508" w:rsidR="008B1C63" w:rsidRPr="008B1C63" w:rsidRDefault="00287678" w:rsidP="00486910">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Horton Grange Primary</w:t>
            </w:r>
          </w:p>
        </w:tc>
      </w:tr>
      <w:tr w:rsidR="000D798B" w14:paraId="4581377A" w14:textId="77777777" w:rsidTr="00D614D4">
        <w:trPr>
          <w:trHeight w:val="414"/>
        </w:trPr>
        <w:tc>
          <w:tcPr>
            <w:tcW w:w="3705" w:type="dxa"/>
            <w:shd w:val="clear" w:color="auto" w:fill="347186"/>
            <w:vAlign w:val="center"/>
          </w:tcPr>
          <w:p w14:paraId="2BBEE951" w14:textId="6DD44781" w:rsidR="000D798B" w:rsidRPr="008B1C63" w:rsidRDefault="000D798B" w:rsidP="00486910">
            <w:pPr>
              <w:spacing w:before="120" w:after="120" w:line="276" w:lineRule="auto"/>
              <w:rPr>
                <w:rFonts w:ascii="Arial" w:eastAsiaTheme="minorEastAsia" w:hAnsi="Arial" w:cs="Arial"/>
                <w:b/>
                <w:lang w:val="en-US" w:eastAsia="ja-JP"/>
              </w:rPr>
            </w:pPr>
            <w:r w:rsidRPr="008B1C63">
              <w:rPr>
                <w:rFonts w:ascii="Arial" w:eastAsiaTheme="minorEastAsia" w:hAnsi="Arial" w:cs="Arial"/>
                <w:b/>
                <w:color w:val="FFFFFF" w:themeColor="background1"/>
                <w:lang w:val="en-US" w:eastAsia="ja-JP"/>
              </w:rPr>
              <w:t>Academic year</w:t>
            </w:r>
            <w:r>
              <w:rPr>
                <w:rFonts w:ascii="Arial" w:eastAsiaTheme="minorEastAsia" w:hAnsi="Arial" w:cs="Arial"/>
                <w:b/>
                <w:color w:val="FFFFFF" w:themeColor="background1"/>
                <w:lang w:val="en-US" w:eastAsia="ja-JP"/>
              </w:rPr>
              <w:t>:</w:t>
            </w:r>
          </w:p>
        </w:tc>
        <w:tc>
          <w:tcPr>
            <w:tcW w:w="11604" w:type="dxa"/>
            <w:gridSpan w:val="7"/>
            <w:vAlign w:val="center"/>
          </w:tcPr>
          <w:p w14:paraId="6313D669" w14:textId="0C6E1B9D" w:rsidR="000D798B" w:rsidRPr="008B1C63" w:rsidRDefault="002E151E" w:rsidP="00CE3287">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2020-2021</w:t>
            </w:r>
          </w:p>
        </w:tc>
      </w:tr>
      <w:tr w:rsidR="000D798B" w14:paraId="33605A66" w14:textId="77777777" w:rsidTr="00D614D4">
        <w:trPr>
          <w:trHeight w:val="414"/>
        </w:trPr>
        <w:tc>
          <w:tcPr>
            <w:tcW w:w="3705" w:type="dxa"/>
            <w:shd w:val="clear" w:color="auto" w:fill="347186"/>
            <w:vAlign w:val="center"/>
          </w:tcPr>
          <w:p w14:paraId="16924411" w14:textId="6949B0B7" w:rsidR="000D798B" w:rsidRDefault="000D798B" w:rsidP="00486910">
            <w:pPr>
              <w:spacing w:before="120" w:after="120" w:line="276" w:lineRule="auto"/>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Total number of pupils on roll:</w:t>
            </w:r>
          </w:p>
        </w:tc>
        <w:tc>
          <w:tcPr>
            <w:tcW w:w="11604" w:type="dxa"/>
            <w:gridSpan w:val="7"/>
            <w:vAlign w:val="center"/>
          </w:tcPr>
          <w:p w14:paraId="044A0CFB" w14:textId="1A766F69" w:rsidR="000D798B" w:rsidRPr="008B1C63" w:rsidRDefault="00DA7C56" w:rsidP="009057E1">
            <w:pPr>
              <w:spacing w:before="120" w:after="120" w:line="276" w:lineRule="auto"/>
              <w:rPr>
                <w:rFonts w:ascii="Arial" w:eastAsiaTheme="minorEastAsia" w:hAnsi="Arial" w:cs="Arial"/>
                <w:b/>
                <w:lang w:val="en-US" w:eastAsia="ja-JP"/>
              </w:rPr>
            </w:pPr>
            <w:r>
              <w:rPr>
                <w:rFonts w:ascii="Arial" w:eastAsiaTheme="minorEastAsia" w:hAnsi="Arial" w:cs="Arial"/>
                <w:b/>
                <w:lang w:val="en-US" w:eastAsia="ja-JP"/>
              </w:rPr>
              <w:t>698</w:t>
            </w:r>
          </w:p>
        </w:tc>
      </w:tr>
      <w:tr w:rsidR="0069102D" w14:paraId="6935ABAD" w14:textId="77777777" w:rsidTr="00D614D4">
        <w:trPr>
          <w:trHeight w:val="414"/>
        </w:trPr>
        <w:tc>
          <w:tcPr>
            <w:tcW w:w="3705" w:type="dxa"/>
            <w:shd w:val="clear" w:color="auto" w:fill="347186"/>
            <w:vAlign w:val="center"/>
          </w:tcPr>
          <w:p w14:paraId="0C9355C5" w14:textId="6A1D24C1" w:rsidR="0069102D" w:rsidRPr="008B1C63" w:rsidRDefault="0069102D" w:rsidP="00486910">
            <w:pPr>
              <w:spacing w:before="120" w:after="120" w:line="276" w:lineRule="auto"/>
              <w:rPr>
                <w:rFonts w:ascii="Arial" w:eastAsiaTheme="minorEastAsia" w:hAnsi="Arial" w:cs="Arial"/>
                <w:b/>
                <w:color w:val="FFFFFF" w:themeColor="background1"/>
                <w:lang w:val="en-US" w:eastAsia="ja-JP"/>
              </w:rPr>
            </w:pPr>
            <w:r w:rsidRPr="008B1C63">
              <w:rPr>
                <w:rFonts w:ascii="Arial" w:eastAsiaTheme="minorEastAsia" w:hAnsi="Arial" w:cs="Arial"/>
                <w:b/>
                <w:color w:val="FFFFFF" w:themeColor="background1"/>
                <w:lang w:val="en-US" w:eastAsia="ja-JP"/>
              </w:rPr>
              <w:t xml:space="preserve">Total </w:t>
            </w:r>
            <w:r>
              <w:rPr>
                <w:rFonts w:ascii="Arial" w:eastAsiaTheme="minorEastAsia" w:hAnsi="Arial" w:cs="Arial"/>
                <w:b/>
                <w:color w:val="FFFFFF" w:themeColor="background1"/>
                <w:lang w:val="en-US" w:eastAsia="ja-JP"/>
              </w:rPr>
              <w:t>catch-up</w:t>
            </w:r>
            <w:r w:rsidRPr="008B1C63">
              <w:rPr>
                <w:rFonts w:ascii="Arial" w:eastAsiaTheme="minorEastAsia" w:hAnsi="Arial" w:cs="Arial"/>
                <w:b/>
                <w:color w:val="FFFFFF" w:themeColor="background1"/>
                <w:lang w:val="en-US" w:eastAsia="ja-JP"/>
              </w:rPr>
              <w:t xml:space="preserve"> budget</w:t>
            </w:r>
            <w:r>
              <w:rPr>
                <w:rFonts w:ascii="Arial" w:eastAsiaTheme="minorEastAsia" w:hAnsi="Arial" w:cs="Arial"/>
                <w:b/>
                <w:color w:val="FFFFFF" w:themeColor="background1"/>
                <w:lang w:val="en-US" w:eastAsia="ja-JP"/>
              </w:rPr>
              <w:t>:</w:t>
            </w:r>
          </w:p>
        </w:tc>
        <w:tc>
          <w:tcPr>
            <w:tcW w:w="1336" w:type="dxa"/>
            <w:vAlign w:val="center"/>
          </w:tcPr>
          <w:p w14:paraId="4FC1229F" w14:textId="78B13167" w:rsidR="0069102D" w:rsidRPr="009057E1" w:rsidRDefault="009057E1" w:rsidP="00107823">
            <w:pPr>
              <w:spacing w:before="120" w:after="120"/>
              <w:rPr>
                <w:rFonts w:ascii="Arial" w:eastAsiaTheme="minorEastAsia" w:hAnsi="Arial" w:cs="Arial"/>
                <w:b/>
                <w:lang w:val="en-US" w:eastAsia="ja-JP"/>
              </w:rPr>
            </w:pPr>
            <w:r w:rsidRPr="009057E1">
              <w:rPr>
                <w:rFonts w:ascii="Arial" w:hAnsi="Arial" w:cs="Arial"/>
                <w:b/>
                <w:sz w:val="24"/>
                <w:szCs w:val="24"/>
              </w:rPr>
              <w:t>£49600</w:t>
            </w:r>
          </w:p>
        </w:tc>
        <w:tc>
          <w:tcPr>
            <w:tcW w:w="2374" w:type="dxa"/>
            <w:vAlign w:val="center"/>
          </w:tcPr>
          <w:p w14:paraId="0010E5BB" w14:textId="32494423"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First installment:</w:t>
            </w:r>
          </w:p>
        </w:tc>
        <w:tc>
          <w:tcPr>
            <w:tcW w:w="1038" w:type="dxa"/>
            <w:vAlign w:val="center"/>
          </w:tcPr>
          <w:p w14:paraId="2349E325" w14:textId="77777777" w:rsidR="0069102D" w:rsidRPr="008B1C63" w:rsidRDefault="0069102D" w:rsidP="00486910">
            <w:pPr>
              <w:spacing w:before="120" w:after="120"/>
              <w:jc w:val="center"/>
              <w:rPr>
                <w:rFonts w:ascii="Arial" w:eastAsiaTheme="minorEastAsia" w:hAnsi="Arial" w:cs="Arial"/>
                <w:b/>
                <w:lang w:val="en-US" w:eastAsia="ja-JP"/>
              </w:rPr>
            </w:pPr>
          </w:p>
        </w:tc>
        <w:tc>
          <w:tcPr>
            <w:tcW w:w="2523" w:type="dxa"/>
            <w:vAlign w:val="center"/>
          </w:tcPr>
          <w:p w14:paraId="649BBC5C" w14:textId="7DE44959"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Second installment:</w:t>
            </w:r>
          </w:p>
        </w:tc>
        <w:tc>
          <w:tcPr>
            <w:tcW w:w="890" w:type="dxa"/>
            <w:vAlign w:val="center"/>
          </w:tcPr>
          <w:p w14:paraId="45960C8F" w14:textId="77777777" w:rsidR="0069102D" w:rsidRPr="008B1C63" w:rsidRDefault="0069102D" w:rsidP="00486910">
            <w:pPr>
              <w:spacing w:before="120" w:after="120"/>
              <w:jc w:val="center"/>
              <w:rPr>
                <w:rFonts w:ascii="Arial" w:eastAsiaTheme="minorEastAsia" w:hAnsi="Arial" w:cs="Arial"/>
                <w:b/>
                <w:lang w:val="en-US" w:eastAsia="ja-JP"/>
              </w:rPr>
            </w:pPr>
          </w:p>
        </w:tc>
        <w:tc>
          <w:tcPr>
            <w:tcW w:w="2374" w:type="dxa"/>
            <w:vAlign w:val="center"/>
          </w:tcPr>
          <w:p w14:paraId="286C9C72" w14:textId="337774D5" w:rsidR="0069102D" w:rsidRPr="008B1C63" w:rsidRDefault="0069102D" w:rsidP="00486910">
            <w:pPr>
              <w:spacing w:before="120" w:after="120"/>
              <w:jc w:val="center"/>
              <w:rPr>
                <w:rFonts w:ascii="Arial" w:eastAsiaTheme="minorEastAsia" w:hAnsi="Arial" w:cs="Arial"/>
                <w:b/>
                <w:lang w:val="en-US" w:eastAsia="ja-JP"/>
              </w:rPr>
            </w:pPr>
            <w:r>
              <w:rPr>
                <w:rFonts w:ascii="Arial" w:eastAsiaTheme="minorEastAsia" w:hAnsi="Arial" w:cs="Arial"/>
                <w:b/>
                <w:lang w:val="en-US" w:eastAsia="ja-JP"/>
              </w:rPr>
              <w:t>Third installment:</w:t>
            </w:r>
          </w:p>
        </w:tc>
        <w:tc>
          <w:tcPr>
            <w:tcW w:w="1066" w:type="dxa"/>
            <w:vAlign w:val="center"/>
          </w:tcPr>
          <w:p w14:paraId="0B4E164D" w14:textId="5C9CA272" w:rsidR="0069102D" w:rsidRPr="008B1C63" w:rsidRDefault="0069102D" w:rsidP="00486910">
            <w:pPr>
              <w:spacing w:before="120" w:after="120" w:line="276" w:lineRule="auto"/>
              <w:jc w:val="center"/>
              <w:rPr>
                <w:rFonts w:ascii="Arial" w:eastAsiaTheme="minorEastAsia" w:hAnsi="Arial" w:cs="Arial"/>
                <w:b/>
                <w:lang w:val="en-US" w:eastAsia="ja-JP"/>
              </w:rPr>
            </w:pPr>
          </w:p>
        </w:tc>
      </w:tr>
      <w:tr w:rsidR="000D798B" w14:paraId="0AEC4A59" w14:textId="77777777" w:rsidTr="00D614D4">
        <w:trPr>
          <w:trHeight w:val="414"/>
        </w:trPr>
        <w:tc>
          <w:tcPr>
            <w:tcW w:w="3705" w:type="dxa"/>
            <w:shd w:val="clear" w:color="auto" w:fill="347186"/>
            <w:vAlign w:val="center"/>
          </w:tcPr>
          <w:p w14:paraId="51198076" w14:textId="3D9AB408" w:rsidR="000D798B" w:rsidRDefault="000D798B" w:rsidP="00486910">
            <w:pPr>
              <w:spacing w:before="120" w:after="120"/>
              <w:rPr>
                <w:rFonts w:ascii="Arial" w:eastAsiaTheme="minorEastAsia" w:hAnsi="Arial" w:cs="Arial"/>
                <w:b/>
                <w:color w:val="FFFFFF" w:themeColor="background1"/>
                <w:lang w:val="en-US" w:eastAsia="ja-JP"/>
              </w:rPr>
            </w:pPr>
            <w:r>
              <w:rPr>
                <w:rFonts w:ascii="Arial" w:eastAsiaTheme="minorEastAsia" w:hAnsi="Arial" w:cs="Arial"/>
                <w:b/>
                <w:color w:val="FFFFFF" w:themeColor="background1"/>
                <w:lang w:val="en-US" w:eastAsia="ja-JP"/>
              </w:rPr>
              <w:t>Date of review:</w:t>
            </w:r>
          </w:p>
        </w:tc>
        <w:tc>
          <w:tcPr>
            <w:tcW w:w="11604" w:type="dxa"/>
            <w:gridSpan w:val="7"/>
            <w:vAlign w:val="center"/>
          </w:tcPr>
          <w:p w14:paraId="5A6206E8" w14:textId="40ADF447" w:rsidR="000D798B" w:rsidRPr="008B1C63" w:rsidRDefault="004D3285" w:rsidP="00107823">
            <w:pPr>
              <w:spacing w:before="120" w:after="120"/>
              <w:rPr>
                <w:rFonts w:ascii="Arial" w:eastAsiaTheme="minorEastAsia" w:hAnsi="Arial" w:cs="Arial"/>
                <w:b/>
                <w:lang w:val="en-US" w:eastAsia="ja-JP"/>
              </w:rPr>
            </w:pPr>
            <w:r>
              <w:rPr>
                <w:rFonts w:ascii="Arial" w:eastAsiaTheme="minorEastAsia" w:hAnsi="Arial" w:cs="Arial"/>
                <w:b/>
                <w:lang w:val="en-US" w:eastAsia="ja-JP"/>
              </w:rPr>
              <w:t>March 2021</w:t>
            </w:r>
            <w:bookmarkStart w:id="2" w:name="_GoBack"/>
            <w:bookmarkEnd w:id="2"/>
          </w:p>
        </w:tc>
      </w:tr>
    </w:tbl>
    <w:p w14:paraId="739C033F" w14:textId="21DD0B3D" w:rsidR="00E2639F" w:rsidRDefault="00E2639F" w:rsidP="00C51C82">
      <w:pPr>
        <w:rPr>
          <w:rFonts w:ascii="Arial" w:eastAsiaTheme="minorEastAsia" w:hAnsi="Arial" w:cs="Arial"/>
          <w:b/>
          <w:lang w:val="en-US" w:eastAsia="ja-JP"/>
        </w:rPr>
      </w:pPr>
    </w:p>
    <w:p w14:paraId="2E7ABF37" w14:textId="584FA079" w:rsidR="00D655E3" w:rsidRPr="00F42E37" w:rsidRDefault="00727AD4" w:rsidP="00D655E3">
      <w:pPr>
        <w:spacing w:before="120" w:after="120"/>
        <w:rPr>
          <w:rFonts w:ascii="Arial" w:eastAsiaTheme="minorEastAsia" w:hAnsi="Arial" w:cs="Arial"/>
          <w:b/>
          <w:sz w:val="28"/>
          <w:szCs w:val="28"/>
          <w:lang w:val="en-US" w:eastAsia="ja-JP"/>
        </w:rPr>
      </w:pPr>
      <w:r>
        <w:rPr>
          <w:rFonts w:ascii="Arial" w:eastAsiaTheme="minorEastAsia" w:hAnsi="Arial" w:cs="Arial"/>
          <w:b/>
          <w:sz w:val="28"/>
          <w:szCs w:val="28"/>
          <w:lang w:val="en-US" w:eastAsia="ja-JP"/>
        </w:rPr>
        <w:t>Teaching and w</w:t>
      </w:r>
      <w:r w:rsidR="007B7FA8" w:rsidRPr="00F42E37">
        <w:rPr>
          <w:rFonts w:ascii="Arial" w:eastAsiaTheme="minorEastAsia" w:hAnsi="Arial" w:cs="Arial"/>
          <w:b/>
          <w:sz w:val="28"/>
          <w:szCs w:val="28"/>
          <w:lang w:val="en-US" w:eastAsia="ja-JP"/>
        </w:rPr>
        <w:t>hole</w:t>
      </w:r>
      <w:r>
        <w:rPr>
          <w:rFonts w:ascii="Arial" w:eastAsiaTheme="minorEastAsia" w:hAnsi="Arial" w:cs="Arial"/>
          <w:b/>
          <w:sz w:val="28"/>
          <w:szCs w:val="28"/>
          <w:lang w:val="en-US" w:eastAsia="ja-JP"/>
        </w:rPr>
        <w:t>-</w:t>
      </w:r>
      <w:r w:rsidR="007B7FA8" w:rsidRPr="00F42E37">
        <w:rPr>
          <w:rFonts w:ascii="Arial" w:eastAsiaTheme="minorEastAsia" w:hAnsi="Arial" w:cs="Arial"/>
          <w:b/>
          <w:sz w:val="28"/>
          <w:szCs w:val="28"/>
          <w:lang w:val="en-US" w:eastAsia="ja-JP"/>
        </w:rPr>
        <w:t xml:space="preserve">school </w:t>
      </w:r>
      <w:r>
        <w:rPr>
          <w:rFonts w:ascii="Arial" w:eastAsiaTheme="minorEastAsia" w:hAnsi="Arial" w:cs="Arial"/>
          <w:b/>
          <w:sz w:val="28"/>
          <w:szCs w:val="28"/>
          <w:lang w:val="en-US" w:eastAsia="ja-JP"/>
        </w:rPr>
        <w:t>strategies</w:t>
      </w:r>
      <w:r w:rsidR="00D655E3" w:rsidRPr="00F42E37">
        <w:rPr>
          <w:rFonts w:ascii="Arial" w:eastAsiaTheme="minorEastAsia" w:hAnsi="Arial" w:cs="Arial"/>
          <w:b/>
          <w:sz w:val="28"/>
          <w:szCs w:val="28"/>
          <w:lang w:val="en-US" w:eastAsia="ja-JP"/>
        </w:rPr>
        <w:t xml:space="preserve"> </w:t>
      </w:r>
    </w:p>
    <w:p w14:paraId="12C01FC5" w14:textId="77260E9A" w:rsidR="00F42E37" w:rsidRPr="003A7483" w:rsidRDefault="00F42E37" w:rsidP="003A7483">
      <w:pPr>
        <w:spacing w:before="120" w:after="120"/>
        <w:jc w:val="both"/>
        <w:rPr>
          <w:rFonts w:ascii="Arial" w:hAnsi="Arial" w:cs="Arial"/>
          <w:b/>
          <w:color w:val="367188"/>
          <w:lang w:val="en-US" w:eastAsia="ja-JP"/>
        </w:rPr>
      </w:pPr>
    </w:p>
    <w:tbl>
      <w:tblPr>
        <w:tblStyle w:val="TableGrid"/>
        <w:tblW w:w="14121" w:type="dxa"/>
        <w:jc w:val="center"/>
        <w:tblLook w:val="04A0" w:firstRow="1" w:lastRow="0" w:firstColumn="1" w:lastColumn="0" w:noHBand="0" w:noVBand="1"/>
      </w:tblPr>
      <w:tblGrid>
        <w:gridCol w:w="2268"/>
        <w:gridCol w:w="3483"/>
        <w:gridCol w:w="4008"/>
        <w:gridCol w:w="1387"/>
        <w:gridCol w:w="2959"/>
        <w:gridCol w:w="16"/>
      </w:tblGrid>
      <w:tr w:rsidR="00DA7C56" w14:paraId="663B622C" w14:textId="77777777" w:rsidTr="00DA7C56">
        <w:trPr>
          <w:gridAfter w:val="1"/>
          <w:wAfter w:w="16" w:type="dxa"/>
          <w:trHeight w:val="800"/>
          <w:jc w:val="center"/>
        </w:trPr>
        <w:tc>
          <w:tcPr>
            <w:tcW w:w="2268" w:type="dxa"/>
            <w:shd w:val="clear" w:color="auto" w:fill="347186"/>
            <w:vAlign w:val="center"/>
          </w:tcPr>
          <w:p w14:paraId="36066923" w14:textId="77777777" w:rsidR="00DA7C56" w:rsidRPr="007B7FA8" w:rsidRDefault="00DA7C56"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Action</w:t>
            </w:r>
          </w:p>
        </w:tc>
        <w:tc>
          <w:tcPr>
            <w:tcW w:w="3483" w:type="dxa"/>
            <w:shd w:val="clear" w:color="auto" w:fill="347186"/>
            <w:vAlign w:val="center"/>
          </w:tcPr>
          <w:p w14:paraId="2EFC3A7C" w14:textId="77777777" w:rsidR="00DA7C56" w:rsidRPr="007B7FA8" w:rsidRDefault="00DA7C56"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Intended outcome</w:t>
            </w:r>
          </w:p>
        </w:tc>
        <w:tc>
          <w:tcPr>
            <w:tcW w:w="4008" w:type="dxa"/>
            <w:shd w:val="clear" w:color="auto" w:fill="347186"/>
            <w:vAlign w:val="center"/>
          </w:tcPr>
          <w:p w14:paraId="1D5C6790" w14:textId="77777777" w:rsidR="00DA7C56" w:rsidRPr="007B7FA8" w:rsidRDefault="00DA7C56" w:rsidP="00846A9F">
            <w:pPr>
              <w:spacing w:before="120" w:after="120" w:line="276" w:lineRule="auto"/>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Estimated impact</w:t>
            </w:r>
          </w:p>
        </w:tc>
        <w:tc>
          <w:tcPr>
            <w:tcW w:w="1387" w:type="dxa"/>
            <w:shd w:val="clear" w:color="auto" w:fill="347186"/>
            <w:vAlign w:val="center"/>
          </w:tcPr>
          <w:p w14:paraId="7CFDC1D8" w14:textId="12334847" w:rsidR="00DA7C56" w:rsidRPr="007B7FA8" w:rsidRDefault="00DA7C56"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Cost</w:t>
            </w:r>
          </w:p>
        </w:tc>
        <w:tc>
          <w:tcPr>
            <w:tcW w:w="2959" w:type="dxa"/>
            <w:shd w:val="clear" w:color="auto" w:fill="347186"/>
            <w:vAlign w:val="center"/>
          </w:tcPr>
          <w:p w14:paraId="2E028710" w14:textId="0C0358D9" w:rsidR="00DA7C56" w:rsidRPr="007B7FA8" w:rsidRDefault="00DA7C56" w:rsidP="00846A9F">
            <w:pPr>
              <w:spacing w:before="120" w:after="120"/>
              <w:jc w:val="center"/>
              <w:rPr>
                <w:rFonts w:ascii="Arial" w:eastAsiaTheme="minorEastAsia" w:hAnsi="Arial" w:cs="Arial"/>
                <w:b/>
                <w:color w:val="FFFFFF" w:themeColor="background1"/>
                <w:lang w:val="en-US" w:eastAsia="ja-JP"/>
              </w:rPr>
            </w:pPr>
            <w:r w:rsidRPr="007B7FA8">
              <w:rPr>
                <w:rFonts w:ascii="Arial" w:eastAsiaTheme="minorEastAsia" w:hAnsi="Arial" w:cs="Arial"/>
                <w:b/>
                <w:color w:val="FFFFFF" w:themeColor="background1"/>
                <w:lang w:val="en-US" w:eastAsia="ja-JP"/>
              </w:rPr>
              <w:t>Staff lead</w:t>
            </w:r>
          </w:p>
        </w:tc>
      </w:tr>
      <w:tr w:rsidR="00DA7C56" w:rsidRPr="00594888" w14:paraId="5F0525B8" w14:textId="77777777" w:rsidTr="00DA7C56">
        <w:trPr>
          <w:gridAfter w:val="1"/>
          <w:wAfter w:w="16" w:type="dxa"/>
          <w:trHeight w:val="1839"/>
          <w:jc w:val="center"/>
        </w:trPr>
        <w:tc>
          <w:tcPr>
            <w:tcW w:w="2268" w:type="dxa"/>
            <w:vAlign w:val="center"/>
          </w:tcPr>
          <w:p w14:paraId="306B92C7" w14:textId="77777777" w:rsidR="00DA7C56" w:rsidRPr="00594888" w:rsidRDefault="00DA7C56" w:rsidP="008E486A">
            <w:pPr>
              <w:tabs>
                <w:tab w:val="left" w:pos="1560"/>
              </w:tabs>
              <w:suppressAutoHyphens/>
              <w:autoSpaceDN w:val="0"/>
              <w:textAlignment w:val="baseline"/>
              <w:rPr>
                <w:rFonts w:ascii="Arial" w:eastAsiaTheme="minorEastAsia" w:hAnsi="Arial" w:cs="Arial"/>
                <w:lang w:val="en-US" w:eastAsia="ja-JP"/>
              </w:rPr>
            </w:pPr>
            <w:r w:rsidRPr="00594888">
              <w:rPr>
                <w:rFonts w:ascii="Arial" w:eastAsiaTheme="minorEastAsia" w:hAnsi="Arial" w:cs="Arial"/>
                <w:lang w:val="en-US" w:eastAsia="ja-JP"/>
              </w:rPr>
              <w:t xml:space="preserve">Purchase resources to support diagnostic </w:t>
            </w:r>
          </w:p>
          <w:p w14:paraId="0F320EAD" w14:textId="0ECED01C" w:rsidR="00DA7C56" w:rsidRPr="00594888" w:rsidRDefault="00DA7C56" w:rsidP="008E486A">
            <w:pPr>
              <w:tabs>
                <w:tab w:val="left" w:pos="1560"/>
              </w:tabs>
              <w:suppressAutoHyphens/>
              <w:autoSpaceDN w:val="0"/>
              <w:textAlignment w:val="baseline"/>
              <w:rPr>
                <w:rFonts w:ascii="Arial" w:eastAsiaTheme="minorEastAsia" w:hAnsi="Arial" w:cs="Arial"/>
                <w:lang w:val="en-US" w:eastAsia="ja-JP"/>
              </w:rPr>
            </w:pPr>
            <w:r w:rsidRPr="00594888">
              <w:rPr>
                <w:rFonts w:ascii="Arial" w:eastAsiaTheme="minorEastAsia" w:hAnsi="Arial" w:cs="Arial"/>
                <w:lang w:val="en-US" w:eastAsia="ja-JP"/>
              </w:rPr>
              <w:t>Assessments in reading and mathematics</w:t>
            </w:r>
          </w:p>
        </w:tc>
        <w:tc>
          <w:tcPr>
            <w:tcW w:w="3483" w:type="dxa"/>
            <w:vAlign w:val="center"/>
          </w:tcPr>
          <w:p w14:paraId="0E69AA6A" w14:textId="638F095E" w:rsidR="00DA7C56" w:rsidRPr="00594888" w:rsidRDefault="00DA7C56" w:rsidP="00846A9F">
            <w:pPr>
              <w:spacing w:before="120" w:after="120" w:line="276" w:lineRule="auto"/>
              <w:rPr>
                <w:rFonts w:ascii="Arial" w:eastAsiaTheme="minorEastAsia" w:hAnsi="Arial" w:cs="Arial"/>
                <w:b/>
                <w:lang w:val="en-US" w:eastAsia="ja-JP"/>
              </w:rPr>
            </w:pPr>
            <w:r w:rsidRPr="00594888">
              <w:rPr>
                <w:rFonts w:ascii="Arial" w:hAnsi="Arial" w:cs="Arial"/>
              </w:rPr>
              <w:t>Identify gaps in maths and reading and deliver bespoke intervention to address gaps identified</w:t>
            </w:r>
            <w:r w:rsidR="00773C73">
              <w:rPr>
                <w:rFonts w:ascii="Arial" w:hAnsi="Arial" w:cs="Arial"/>
              </w:rPr>
              <w:t>.</w:t>
            </w:r>
          </w:p>
        </w:tc>
        <w:tc>
          <w:tcPr>
            <w:tcW w:w="4008" w:type="dxa"/>
            <w:vAlign w:val="center"/>
          </w:tcPr>
          <w:p w14:paraId="06BB5464" w14:textId="3E3C5C54" w:rsidR="00DA7C56" w:rsidRPr="00594888" w:rsidRDefault="00DA7C56" w:rsidP="00846A9F">
            <w:pPr>
              <w:spacing w:before="120" w:after="120" w:line="276" w:lineRule="auto"/>
              <w:rPr>
                <w:rFonts w:ascii="Arial" w:eastAsiaTheme="minorEastAsia" w:hAnsi="Arial" w:cs="Arial"/>
                <w:lang w:val="en-US" w:eastAsia="ja-JP"/>
              </w:rPr>
            </w:pPr>
            <w:r w:rsidRPr="00594888">
              <w:rPr>
                <w:rFonts w:ascii="Arial" w:eastAsiaTheme="minorEastAsia" w:hAnsi="Arial" w:cs="Arial"/>
                <w:lang w:val="en-US" w:eastAsia="ja-JP"/>
              </w:rPr>
              <w:t>Pupils will be able catch up on missed learning and reach age related expectations by the end of the academic year or individual goals</w:t>
            </w:r>
          </w:p>
        </w:tc>
        <w:tc>
          <w:tcPr>
            <w:tcW w:w="1387" w:type="dxa"/>
            <w:vAlign w:val="center"/>
          </w:tcPr>
          <w:p w14:paraId="5BA1366D" w14:textId="3674385E" w:rsidR="00DA7C56" w:rsidRPr="00594888" w:rsidRDefault="00DA7C56" w:rsidP="00487D87">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£6000</w:t>
            </w:r>
          </w:p>
        </w:tc>
        <w:tc>
          <w:tcPr>
            <w:tcW w:w="2959" w:type="dxa"/>
            <w:vAlign w:val="center"/>
          </w:tcPr>
          <w:p w14:paraId="52B1D2FB" w14:textId="68107E72"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t>Assessment  Lead</w:t>
            </w:r>
          </w:p>
        </w:tc>
      </w:tr>
      <w:tr w:rsidR="00DA7C56" w:rsidRPr="00594888" w14:paraId="4489A96F" w14:textId="77777777" w:rsidTr="00DA7C56">
        <w:trPr>
          <w:gridAfter w:val="1"/>
          <w:wAfter w:w="16" w:type="dxa"/>
          <w:trHeight w:val="1018"/>
          <w:jc w:val="center"/>
        </w:trPr>
        <w:tc>
          <w:tcPr>
            <w:tcW w:w="2268" w:type="dxa"/>
            <w:vAlign w:val="center"/>
          </w:tcPr>
          <w:p w14:paraId="119858C5" w14:textId="37586A55"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t>Purchase stationary and exercise books to support home learning</w:t>
            </w:r>
          </w:p>
          <w:p w14:paraId="4BC92BBA" w14:textId="77777777" w:rsidR="00DA7C56" w:rsidRPr="00594888" w:rsidRDefault="00DA7C56" w:rsidP="00846A9F">
            <w:pPr>
              <w:spacing w:before="120" w:after="120"/>
              <w:rPr>
                <w:rFonts w:ascii="Arial" w:eastAsiaTheme="minorEastAsia" w:hAnsi="Arial" w:cs="Arial"/>
                <w:lang w:val="en-US" w:eastAsia="ja-JP"/>
              </w:rPr>
            </w:pPr>
          </w:p>
          <w:p w14:paraId="6384EDCA" w14:textId="27CBAD6E" w:rsidR="00DA7C56" w:rsidRPr="00594888" w:rsidRDefault="00DA7C56" w:rsidP="00846A9F">
            <w:pPr>
              <w:spacing w:before="120" w:after="120"/>
              <w:rPr>
                <w:rFonts w:ascii="Arial" w:eastAsiaTheme="minorEastAsia" w:hAnsi="Arial" w:cs="Arial"/>
                <w:lang w:val="en-US" w:eastAsia="ja-JP"/>
              </w:rPr>
            </w:pPr>
          </w:p>
        </w:tc>
        <w:tc>
          <w:tcPr>
            <w:tcW w:w="3483" w:type="dxa"/>
            <w:vAlign w:val="center"/>
          </w:tcPr>
          <w:p w14:paraId="453A1FB0" w14:textId="4F03E5AD" w:rsidR="00DA7C56" w:rsidRPr="00594888" w:rsidRDefault="00DA7C56" w:rsidP="008C08A1">
            <w:pPr>
              <w:rPr>
                <w:rFonts w:ascii="Arial" w:eastAsiaTheme="minorEastAsia" w:hAnsi="Arial" w:cs="Arial"/>
                <w:lang w:val="en-US" w:eastAsia="ja-JP"/>
              </w:rPr>
            </w:pPr>
            <w:r w:rsidRPr="00594888">
              <w:rPr>
                <w:rFonts w:ascii="Arial" w:hAnsi="Arial" w:cs="Arial"/>
              </w:rPr>
              <w:t>All children have access to writing materials to record lea</w:t>
            </w:r>
            <w:r w:rsidR="00773C73">
              <w:rPr>
                <w:rFonts w:ascii="Arial" w:hAnsi="Arial" w:cs="Arial"/>
              </w:rPr>
              <w:t>rning being carried out at home.</w:t>
            </w:r>
          </w:p>
          <w:p w14:paraId="2E9F58E4" w14:textId="77777777" w:rsidR="00DA7C56" w:rsidRPr="00594888" w:rsidRDefault="00DA7C56" w:rsidP="00A24815">
            <w:pPr>
              <w:rPr>
                <w:rFonts w:ascii="Arial" w:eastAsiaTheme="minorEastAsia" w:hAnsi="Arial" w:cs="Arial"/>
                <w:b/>
                <w:lang w:val="en-US" w:eastAsia="ja-JP"/>
              </w:rPr>
            </w:pPr>
          </w:p>
          <w:p w14:paraId="5974857F" w14:textId="77777777" w:rsidR="00DA7C56" w:rsidRPr="00594888" w:rsidRDefault="00DA7C56" w:rsidP="00A24815">
            <w:pPr>
              <w:rPr>
                <w:rFonts w:ascii="Arial" w:eastAsiaTheme="minorEastAsia" w:hAnsi="Arial" w:cs="Arial"/>
                <w:b/>
                <w:lang w:val="en-US" w:eastAsia="ja-JP"/>
              </w:rPr>
            </w:pPr>
          </w:p>
          <w:p w14:paraId="7DA35870" w14:textId="3221E5AA" w:rsidR="00DA7C56" w:rsidRPr="00594888" w:rsidRDefault="00DA7C56" w:rsidP="00984119">
            <w:pPr>
              <w:rPr>
                <w:rFonts w:ascii="Arial" w:eastAsiaTheme="minorEastAsia" w:hAnsi="Arial" w:cs="Arial"/>
                <w:lang w:val="en-US" w:eastAsia="ja-JP"/>
              </w:rPr>
            </w:pPr>
          </w:p>
        </w:tc>
        <w:tc>
          <w:tcPr>
            <w:tcW w:w="4008" w:type="dxa"/>
            <w:vAlign w:val="center"/>
          </w:tcPr>
          <w:p w14:paraId="7E84BCC4" w14:textId="19F9D888" w:rsidR="00DA7C56" w:rsidRPr="00594888" w:rsidRDefault="00DA7C56" w:rsidP="0083441E">
            <w:pPr>
              <w:spacing w:before="120" w:after="120"/>
              <w:rPr>
                <w:rFonts w:ascii="Arial" w:eastAsiaTheme="minorEastAsia" w:hAnsi="Arial" w:cs="Arial"/>
                <w:lang w:val="en-US" w:eastAsia="ja-JP"/>
              </w:rPr>
            </w:pPr>
            <w:r w:rsidRPr="00594888">
              <w:rPr>
                <w:rFonts w:ascii="Arial" w:eastAsiaTheme="minorEastAsia" w:hAnsi="Arial" w:cs="Arial"/>
                <w:lang w:val="en-US" w:eastAsia="ja-JP"/>
              </w:rPr>
              <w:t>Pupils will be able to record learning and this will support teacher assessment</w:t>
            </w:r>
            <w:r>
              <w:rPr>
                <w:rFonts w:ascii="Arial" w:eastAsiaTheme="minorEastAsia" w:hAnsi="Arial" w:cs="Arial"/>
                <w:lang w:val="en-US" w:eastAsia="ja-JP"/>
              </w:rPr>
              <w:t xml:space="preserve"> and </w:t>
            </w:r>
            <w:r w:rsidRPr="00594888">
              <w:rPr>
                <w:rFonts w:ascii="Arial" w:eastAsiaTheme="minorEastAsia" w:hAnsi="Arial" w:cs="Arial"/>
                <w:lang w:val="en-US" w:eastAsia="ja-JP"/>
              </w:rPr>
              <w:t>ensu</w:t>
            </w:r>
            <w:r>
              <w:rPr>
                <w:rFonts w:ascii="Arial" w:eastAsiaTheme="minorEastAsia" w:hAnsi="Arial" w:cs="Arial"/>
                <w:lang w:val="en-US" w:eastAsia="ja-JP"/>
              </w:rPr>
              <w:t xml:space="preserve">re </w:t>
            </w:r>
            <w:r w:rsidRPr="00594888">
              <w:rPr>
                <w:rFonts w:ascii="Arial" w:eastAsiaTheme="minorEastAsia" w:hAnsi="Arial" w:cs="Arial"/>
                <w:lang w:val="en-US" w:eastAsia="ja-JP"/>
              </w:rPr>
              <w:t>planning and teaching meets pupils individual needs</w:t>
            </w:r>
          </w:p>
        </w:tc>
        <w:tc>
          <w:tcPr>
            <w:tcW w:w="1387" w:type="dxa"/>
            <w:vAlign w:val="center"/>
          </w:tcPr>
          <w:p w14:paraId="454AA39D" w14:textId="18A92876" w:rsidR="00DA7C56" w:rsidRPr="00594888" w:rsidRDefault="00DA7C56" w:rsidP="00487D87">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w:t>
            </w:r>
            <w:r>
              <w:rPr>
                <w:rFonts w:ascii="Arial" w:eastAsiaTheme="minorEastAsia" w:hAnsi="Arial" w:cs="Arial"/>
                <w:b/>
                <w:lang w:val="en-US" w:eastAsia="ja-JP"/>
              </w:rPr>
              <w:t>10</w:t>
            </w:r>
            <w:r w:rsidRPr="00594888">
              <w:rPr>
                <w:rFonts w:ascii="Arial" w:eastAsiaTheme="minorEastAsia" w:hAnsi="Arial" w:cs="Arial"/>
                <w:b/>
                <w:lang w:val="en-US" w:eastAsia="ja-JP"/>
              </w:rPr>
              <w:t>00</w:t>
            </w:r>
          </w:p>
        </w:tc>
        <w:tc>
          <w:tcPr>
            <w:tcW w:w="2959" w:type="dxa"/>
            <w:vAlign w:val="center"/>
          </w:tcPr>
          <w:p w14:paraId="5B7393FA" w14:textId="24D35B1D"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t>SLT</w:t>
            </w:r>
          </w:p>
        </w:tc>
      </w:tr>
      <w:tr w:rsidR="00DA7C56" w:rsidRPr="00594888" w14:paraId="78CE945A" w14:textId="77777777" w:rsidTr="00DA7C56">
        <w:trPr>
          <w:gridAfter w:val="1"/>
          <w:wAfter w:w="16" w:type="dxa"/>
          <w:trHeight w:val="1458"/>
          <w:jc w:val="center"/>
        </w:trPr>
        <w:tc>
          <w:tcPr>
            <w:tcW w:w="2268" w:type="dxa"/>
            <w:vAlign w:val="center"/>
          </w:tcPr>
          <w:p w14:paraId="7035E881" w14:textId="413162E9"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lastRenderedPageBreak/>
              <w:t xml:space="preserve">Purchase of </w:t>
            </w:r>
            <w:r w:rsidRPr="00594888">
              <w:rPr>
                <w:rFonts w:ascii="Arial" w:hAnsi="Arial" w:cs="Arial"/>
              </w:rPr>
              <w:t>CGP books for English, Maths and phonic</w:t>
            </w:r>
            <w:r>
              <w:rPr>
                <w:rFonts w:ascii="Arial" w:hAnsi="Arial" w:cs="Arial"/>
              </w:rPr>
              <w:t>s summer 2020</w:t>
            </w:r>
          </w:p>
        </w:tc>
        <w:tc>
          <w:tcPr>
            <w:tcW w:w="3483" w:type="dxa"/>
            <w:vAlign w:val="center"/>
          </w:tcPr>
          <w:p w14:paraId="02D3D6E7" w14:textId="73C8EA42" w:rsidR="00DA7C56" w:rsidRPr="00594888" w:rsidRDefault="00DA7C56" w:rsidP="00487D87">
            <w:pPr>
              <w:tabs>
                <w:tab w:val="left" w:pos="3315"/>
              </w:tabs>
              <w:rPr>
                <w:rFonts w:ascii="Arial" w:hAnsi="Arial" w:cs="Arial"/>
              </w:rPr>
            </w:pPr>
            <w:r w:rsidRPr="00594888">
              <w:rPr>
                <w:rFonts w:ascii="Arial" w:hAnsi="Arial" w:cs="Arial"/>
              </w:rPr>
              <w:t>Support pupils over the summer to catch-up on missed learning in preparation for the autumn term</w:t>
            </w:r>
            <w:r w:rsidR="00773C73">
              <w:rPr>
                <w:rFonts w:ascii="Arial" w:hAnsi="Arial" w:cs="Arial"/>
              </w:rPr>
              <w:t>.</w:t>
            </w:r>
          </w:p>
          <w:p w14:paraId="5F258D41" w14:textId="2F0BD3CB" w:rsidR="00DA7C56" w:rsidRPr="00594888" w:rsidRDefault="00DA7C56" w:rsidP="00CE3287">
            <w:pPr>
              <w:spacing w:before="120" w:after="120"/>
              <w:rPr>
                <w:rFonts w:ascii="Arial" w:eastAsiaTheme="minorEastAsia" w:hAnsi="Arial" w:cs="Arial"/>
                <w:b/>
                <w:lang w:val="en-US" w:eastAsia="ja-JP"/>
              </w:rPr>
            </w:pPr>
            <w:r w:rsidRPr="00594888">
              <w:rPr>
                <w:rFonts w:ascii="Arial" w:hAnsi="Arial" w:cs="Arial"/>
              </w:rPr>
              <w:t>Support</w:t>
            </w:r>
            <w:r w:rsidR="00CE3287">
              <w:rPr>
                <w:rFonts w:ascii="Arial" w:hAnsi="Arial" w:cs="Arial"/>
              </w:rPr>
              <w:t xml:space="preserve"> families to</w:t>
            </w:r>
            <w:r w:rsidRPr="00594888">
              <w:rPr>
                <w:rFonts w:ascii="Arial" w:hAnsi="Arial" w:cs="Arial"/>
              </w:rPr>
              <w:t xml:space="preserve"> access printed material for those pupils who do not have access to digital aids</w:t>
            </w:r>
            <w:r w:rsidR="00CE3287">
              <w:rPr>
                <w:rFonts w:ascii="Arial" w:hAnsi="Arial" w:cs="Arial"/>
              </w:rPr>
              <w:t>.  Further removing</w:t>
            </w:r>
            <w:r w:rsidRPr="00594888">
              <w:rPr>
                <w:rFonts w:ascii="Arial" w:hAnsi="Arial" w:cs="Arial"/>
              </w:rPr>
              <w:t xml:space="preserve"> barriers to learning</w:t>
            </w:r>
            <w:r w:rsidR="00773C73">
              <w:rPr>
                <w:rFonts w:ascii="Arial" w:hAnsi="Arial" w:cs="Arial"/>
              </w:rPr>
              <w:t>.</w:t>
            </w:r>
          </w:p>
        </w:tc>
        <w:tc>
          <w:tcPr>
            <w:tcW w:w="4008" w:type="dxa"/>
            <w:vAlign w:val="center"/>
          </w:tcPr>
          <w:p w14:paraId="742078B7" w14:textId="77777777" w:rsidR="00DA7C56" w:rsidRDefault="00DA7C56" w:rsidP="00816596">
            <w:pPr>
              <w:spacing w:before="120" w:after="120"/>
              <w:rPr>
                <w:rFonts w:ascii="Arial" w:eastAsiaTheme="minorEastAsia" w:hAnsi="Arial" w:cs="Arial"/>
                <w:lang w:val="en-US" w:eastAsia="ja-JP"/>
              </w:rPr>
            </w:pPr>
            <w:r w:rsidRPr="00594888">
              <w:rPr>
                <w:rFonts w:ascii="Arial" w:eastAsiaTheme="minorEastAsia" w:hAnsi="Arial" w:cs="Arial"/>
                <w:lang w:val="en-US" w:eastAsia="ja-JP"/>
              </w:rPr>
              <w:t>Pupils will be able to access learning materials and resources a</w:t>
            </w:r>
            <w:r>
              <w:rPr>
                <w:rFonts w:ascii="Arial" w:eastAsiaTheme="minorEastAsia" w:hAnsi="Arial" w:cs="Arial"/>
                <w:lang w:val="en-US" w:eastAsia="ja-JP"/>
              </w:rPr>
              <w:t>nd catch-up on missed learning.</w:t>
            </w:r>
          </w:p>
          <w:p w14:paraId="3EA8E223" w14:textId="6CAB8484" w:rsidR="00DA7C56" w:rsidRPr="00594888" w:rsidRDefault="00DA7C56" w:rsidP="00816596">
            <w:pPr>
              <w:spacing w:before="120" w:after="120"/>
              <w:rPr>
                <w:rFonts w:ascii="Arial" w:eastAsiaTheme="minorEastAsia" w:hAnsi="Arial" w:cs="Arial"/>
                <w:lang w:val="en-US" w:eastAsia="ja-JP"/>
              </w:rPr>
            </w:pPr>
            <w:r>
              <w:rPr>
                <w:rFonts w:ascii="Arial" w:eastAsiaTheme="minorEastAsia" w:hAnsi="Arial" w:cs="Arial"/>
                <w:lang w:val="en-US" w:eastAsia="ja-JP"/>
              </w:rPr>
              <w:t>Support parents in facilitating pupils learning at home where possible.</w:t>
            </w:r>
          </w:p>
        </w:tc>
        <w:tc>
          <w:tcPr>
            <w:tcW w:w="1387" w:type="dxa"/>
            <w:vAlign w:val="center"/>
          </w:tcPr>
          <w:p w14:paraId="6FF8254A" w14:textId="32CC73CA" w:rsidR="00DA7C56" w:rsidRPr="00594888" w:rsidRDefault="00DA7C56" w:rsidP="00846A9F">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£2500</w:t>
            </w:r>
          </w:p>
        </w:tc>
        <w:tc>
          <w:tcPr>
            <w:tcW w:w="2959" w:type="dxa"/>
            <w:vAlign w:val="center"/>
          </w:tcPr>
          <w:p w14:paraId="1DBB7A27" w14:textId="414B11C8" w:rsidR="00DA7C56" w:rsidRPr="00594888" w:rsidRDefault="00DA7C56" w:rsidP="00846A9F">
            <w:pPr>
              <w:spacing w:before="120" w:after="120"/>
              <w:rPr>
                <w:rFonts w:ascii="Arial" w:eastAsiaTheme="minorEastAsia" w:hAnsi="Arial" w:cs="Arial"/>
                <w:lang w:val="en-US" w:eastAsia="ja-JP"/>
              </w:rPr>
            </w:pPr>
            <w:proofErr w:type="spellStart"/>
            <w:r w:rsidRPr="00594888">
              <w:rPr>
                <w:rFonts w:ascii="Arial" w:eastAsiaTheme="minorEastAsia" w:hAnsi="Arial" w:cs="Arial"/>
                <w:lang w:val="en-US" w:eastAsia="ja-JP"/>
              </w:rPr>
              <w:t>Maths</w:t>
            </w:r>
            <w:proofErr w:type="spellEnd"/>
            <w:r w:rsidRPr="00594888">
              <w:rPr>
                <w:rFonts w:ascii="Arial" w:eastAsiaTheme="minorEastAsia" w:hAnsi="Arial" w:cs="Arial"/>
                <w:lang w:val="en-US" w:eastAsia="ja-JP"/>
              </w:rPr>
              <w:t xml:space="preserve"> and English Lead</w:t>
            </w:r>
          </w:p>
        </w:tc>
      </w:tr>
      <w:tr w:rsidR="00DA7C56" w:rsidRPr="00594888" w14:paraId="6EFCC6D7" w14:textId="77777777" w:rsidTr="00DA7C56">
        <w:trPr>
          <w:gridAfter w:val="1"/>
          <w:wAfter w:w="16" w:type="dxa"/>
          <w:trHeight w:val="1458"/>
          <w:jc w:val="center"/>
        </w:trPr>
        <w:tc>
          <w:tcPr>
            <w:tcW w:w="2268" w:type="dxa"/>
            <w:vAlign w:val="center"/>
          </w:tcPr>
          <w:p w14:paraId="5F5B9E06" w14:textId="2A79191B" w:rsidR="00DA7C56" w:rsidRPr="00594888" w:rsidRDefault="00DA7C56" w:rsidP="00846A9F">
            <w:pPr>
              <w:spacing w:before="120" w:after="120"/>
              <w:rPr>
                <w:rFonts w:ascii="Arial" w:eastAsiaTheme="minorEastAsia" w:hAnsi="Arial" w:cs="Arial"/>
                <w:b/>
                <w:lang w:val="en-US" w:eastAsia="ja-JP"/>
              </w:rPr>
            </w:pPr>
            <w:r w:rsidRPr="00594888">
              <w:rPr>
                <w:rFonts w:ascii="Arial" w:hAnsi="Arial" w:cs="Arial"/>
              </w:rPr>
              <w:t>Oxford Owl</w:t>
            </w:r>
          </w:p>
        </w:tc>
        <w:tc>
          <w:tcPr>
            <w:tcW w:w="3483" w:type="dxa"/>
            <w:vAlign w:val="center"/>
          </w:tcPr>
          <w:p w14:paraId="58CA46B0" w14:textId="11E3A167" w:rsidR="00DA7C56" w:rsidRPr="00594888" w:rsidRDefault="00DA7C56" w:rsidP="00487D87">
            <w:pPr>
              <w:tabs>
                <w:tab w:val="left" w:pos="3315"/>
              </w:tabs>
              <w:rPr>
                <w:rFonts w:ascii="Arial" w:hAnsi="Arial" w:cs="Arial"/>
              </w:rPr>
            </w:pPr>
            <w:r w:rsidRPr="00594888">
              <w:rPr>
                <w:rFonts w:ascii="Arial" w:hAnsi="Arial" w:cs="Arial"/>
              </w:rPr>
              <w:t>To enable pupils to access reading fluency books online that are closely matched to their reading levels and phonics to support home learning.</w:t>
            </w:r>
          </w:p>
        </w:tc>
        <w:tc>
          <w:tcPr>
            <w:tcW w:w="4008" w:type="dxa"/>
            <w:vAlign w:val="center"/>
          </w:tcPr>
          <w:p w14:paraId="6306A71A" w14:textId="2DA319B9"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t>Pupils will continue to develop reading fluency in line with age related expectations.  Pupils will have access to reading books whilst accessing remote learning.</w:t>
            </w:r>
          </w:p>
        </w:tc>
        <w:tc>
          <w:tcPr>
            <w:tcW w:w="1387" w:type="dxa"/>
            <w:vAlign w:val="center"/>
          </w:tcPr>
          <w:p w14:paraId="11457022" w14:textId="5C1ABAD7" w:rsidR="00DA7C56" w:rsidRPr="00594888" w:rsidRDefault="00DA7C56" w:rsidP="00846A9F">
            <w:pPr>
              <w:spacing w:before="120" w:after="120"/>
              <w:rPr>
                <w:rFonts w:ascii="Arial" w:eastAsiaTheme="minorEastAsia" w:hAnsi="Arial" w:cs="Arial"/>
                <w:b/>
                <w:lang w:val="en-US" w:eastAsia="ja-JP"/>
              </w:rPr>
            </w:pPr>
            <w:r w:rsidRPr="00594888">
              <w:rPr>
                <w:rFonts w:ascii="Arial" w:hAnsi="Arial" w:cs="Arial"/>
                <w:b/>
              </w:rPr>
              <w:t>£700</w:t>
            </w:r>
          </w:p>
        </w:tc>
        <w:tc>
          <w:tcPr>
            <w:tcW w:w="2959" w:type="dxa"/>
            <w:vAlign w:val="center"/>
          </w:tcPr>
          <w:p w14:paraId="2FEB7A1B" w14:textId="304C6E3C" w:rsidR="00DA7C56" w:rsidRPr="00594888" w:rsidRDefault="00DA7C56" w:rsidP="00846A9F">
            <w:pPr>
              <w:spacing w:before="120" w:after="120"/>
              <w:rPr>
                <w:rFonts w:ascii="Arial" w:eastAsiaTheme="minorEastAsia" w:hAnsi="Arial" w:cs="Arial"/>
                <w:lang w:val="en-US" w:eastAsia="ja-JP"/>
              </w:rPr>
            </w:pPr>
            <w:r w:rsidRPr="00594888">
              <w:rPr>
                <w:rFonts w:ascii="Arial" w:eastAsiaTheme="minorEastAsia" w:hAnsi="Arial" w:cs="Arial"/>
                <w:lang w:val="en-US" w:eastAsia="ja-JP"/>
              </w:rPr>
              <w:t>English Lead</w:t>
            </w:r>
          </w:p>
        </w:tc>
      </w:tr>
      <w:tr w:rsidR="00DA7C56" w:rsidRPr="00594888" w14:paraId="7C371476" w14:textId="77777777" w:rsidTr="00DA7C56">
        <w:trPr>
          <w:gridAfter w:val="1"/>
          <w:wAfter w:w="16" w:type="dxa"/>
          <w:trHeight w:val="1458"/>
          <w:jc w:val="center"/>
        </w:trPr>
        <w:tc>
          <w:tcPr>
            <w:tcW w:w="2268" w:type="dxa"/>
            <w:vAlign w:val="center"/>
          </w:tcPr>
          <w:p w14:paraId="28A5771E" w14:textId="20B37A80" w:rsidR="00DA7C56" w:rsidRPr="00594888" w:rsidRDefault="00DA7C56" w:rsidP="00846A9F">
            <w:pPr>
              <w:spacing w:before="120" w:after="120"/>
              <w:rPr>
                <w:rFonts w:ascii="Arial" w:hAnsi="Arial" w:cs="Arial"/>
              </w:rPr>
            </w:pPr>
            <w:r>
              <w:rPr>
                <w:rFonts w:ascii="Arial" w:hAnsi="Arial" w:cs="Arial"/>
              </w:rPr>
              <w:t>Purchase work and textbooks</w:t>
            </w:r>
          </w:p>
        </w:tc>
        <w:tc>
          <w:tcPr>
            <w:tcW w:w="3483" w:type="dxa"/>
            <w:vAlign w:val="center"/>
          </w:tcPr>
          <w:p w14:paraId="6ED7905D" w14:textId="43084354" w:rsidR="00DA7C56" w:rsidRPr="00594888" w:rsidRDefault="00DA7C56" w:rsidP="00487D87">
            <w:pPr>
              <w:tabs>
                <w:tab w:val="left" w:pos="3315"/>
              </w:tabs>
              <w:rPr>
                <w:rFonts w:ascii="Arial" w:hAnsi="Arial" w:cs="Arial"/>
              </w:rPr>
            </w:pPr>
            <w:r>
              <w:rPr>
                <w:rFonts w:ascii="Arial" w:hAnsi="Arial" w:cs="Arial"/>
              </w:rPr>
              <w:t>To facilitate home learning and support pupils and parents in completing learning task</w:t>
            </w:r>
            <w:r w:rsidR="00773C73">
              <w:rPr>
                <w:rFonts w:ascii="Arial" w:hAnsi="Arial" w:cs="Arial"/>
              </w:rPr>
              <w:t>.</w:t>
            </w:r>
          </w:p>
        </w:tc>
        <w:tc>
          <w:tcPr>
            <w:tcW w:w="4008" w:type="dxa"/>
            <w:vAlign w:val="center"/>
          </w:tcPr>
          <w:p w14:paraId="5ECA3126" w14:textId="3228D591" w:rsidR="00DA7C56" w:rsidRPr="00594888" w:rsidRDefault="00DA7C56" w:rsidP="00846A9F">
            <w:pPr>
              <w:spacing w:before="120" w:after="120"/>
              <w:rPr>
                <w:rFonts w:ascii="Arial" w:eastAsiaTheme="minorEastAsia" w:hAnsi="Arial" w:cs="Arial"/>
                <w:lang w:val="en-US" w:eastAsia="ja-JP"/>
              </w:rPr>
            </w:pPr>
            <w:r>
              <w:rPr>
                <w:rFonts w:ascii="Arial" w:eastAsiaTheme="minorEastAsia" w:hAnsi="Arial" w:cs="Arial"/>
                <w:lang w:val="en-US" w:eastAsia="ja-JP"/>
              </w:rPr>
              <w:t>Pupils will continue to develop key mathematical and English skills as outlined in the National Curriculum.</w:t>
            </w:r>
          </w:p>
        </w:tc>
        <w:tc>
          <w:tcPr>
            <w:tcW w:w="1387" w:type="dxa"/>
            <w:vAlign w:val="center"/>
          </w:tcPr>
          <w:p w14:paraId="0DCC7844" w14:textId="3EC8D04A" w:rsidR="00DA7C56" w:rsidRPr="00594888" w:rsidRDefault="00DA7C56" w:rsidP="00846A9F">
            <w:pPr>
              <w:spacing w:before="120" w:after="120"/>
              <w:rPr>
                <w:rFonts w:ascii="Arial" w:hAnsi="Arial" w:cs="Arial"/>
                <w:b/>
              </w:rPr>
            </w:pPr>
            <w:r>
              <w:rPr>
                <w:rFonts w:ascii="Arial" w:hAnsi="Arial" w:cs="Arial"/>
                <w:b/>
              </w:rPr>
              <w:t>£10,000</w:t>
            </w:r>
          </w:p>
        </w:tc>
        <w:tc>
          <w:tcPr>
            <w:tcW w:w="2959" w:type="dxa"/>
            <w:vAlign w:val="center"/>
          </w:tcPr>
          <w:p w14:paraId="782E8D09" w14:textId="743ED3B8" w:rsidR="00DA7C56" w:rsidRPr="00594888" w:rsidRDefault="00DA7C56" w:rsidP="00846A9F">
            <w:pPr>
              <w:spacing w:before="120" w:after="120"/>
              <w:rPr>
                <w:rFonts w:ascii="Arial" w:eastAsiaTheme="minorEastAsia" w:hAnsi="Arial" w:cs="Arial"/>
                <w:lang w:val="en-US" w:eastAsia="ja-JP"/>
              </w:rPr>
            </w:pPr>
            <w:r>
              <w:rPr>
                <w:rFonts w:ascii="Arial" w:eastAsiaTheme="minorEastAsia" w:hAnsi="Arial" w:cs="Arial"/>
                <w:lang w:val="en-US" w:eastAsia="ja-JP"/>
              </w:rPr>
              <w:t>SLT</w:t>
            </w:r>
          </w:p>
        </w:tc>
      </w:tr>
      <w:tr w:rsidR="00DA7C56" w:rsidRPr="00594888" w14:paraId="1D343404" w14:textId="16B90903" w:rsidTr="00DA7C56">
        <w:trPr>
          <w:trHeight w:val="140"/>
          <w:jc w:val="center"/>
        </w:trPr>
        <w:tc>
          <w:tcPr>
            <w:tcW w:w="9759" w:type="dxa"/>
            <w:gridSpan w:val="3"/>
            <w:shd w:val="clear" w:color="auto" w:fill="347186"/>
            <w:vAlign w:val="center"/>
          </w:tcPr>
          <w:p w14:paraId="281E3835" w14:textId="77777777" w:rsidR="00DA7C56" w:rsidRPr="00594888" w:rsidRDefault="00DA7C56" w:rsidP="00846A9F">
            <w:pPr>
              <w:spacing w:before="120" w:after="120"/>
              <w:jc w:val="right"/>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Total spend:</w:t>
            </w:r>
          </w:p>
        </w:tc>
        <w:tc>
          <w:tcPr>
            <w:tcW w:w="4362" w:type="dxa"/>
            <w:gridSpan w:val="3"/>
            <w:shd w:val="clear" w:color="auto" w:fill="auto"/>
          </w:tcPr>
          <w:p w14:paraId="539B75C1" w14:textId="146C3902" w:rsidR="00DA7C56" w:rsidRPr="006C1264" w:rsidRDefault="006C1264">
            <w:pPr>
              <w:rPr>
                <w:rFonts w:ascii="Arial" w:hAnsi="Arial" w:cs="Arial"/>
                <w:b/>
              </w:rPr>
            </w:pPr>
            <w:r w:rsidRPr="006C1264">
              <w:rPr>
                <w:rFonts w:ascii="Arial" w:hAnsi="Arial" w:cs="Arial"/>
                <w:b/>
              </w:rPr>
              <w:t>£20200</w:t>
            </w:r>
          </w:p>
        </w:tc>
      </w:tr>
    </w:tbl>
    <w:p w14:paraId="573C7182" w14:textId="77777777" w:rsidR="00D655E3" w:rsidRPr="00594888" w:rsidRDefault="00D655E3" w:rsidP="0009745F">
      <w:pPr>
        <w:spacing w:before="120" w:after="0"/>
        <w:rPr>
          <w:rFonts w:ascii="Arial" w:hAnsi="Arial" w:cs="Arial"/>
          <w:b/>
          <w:lang w:val="en-US" w:eastAsia="ja-JP"/>
        </w:rPr>
      </w:pPr>
    </w:p>
    <w:p w14:paraId="687E708D" w14:textId="77777777" w:rsidR="00D22670" w:rsidRDefault="00D22670" w:rsidP="0009745F">
      <w:pPr>
        <w:spacing w:after="120"/>
        <w:rPr>
          <w:rFonts w:ascii="Arial" w:hAnsi="Arial" w:cs="Arial"/>
          <w:b/>
          <w:lang w:val="en-US" w:eastAsia="ja-JP"/>
        </w:rPr>
      </w:pPr>
    </w:p>
    <w:p w14:paraId="7B2596DA" w14:textId="77777777" w:rsidR="00D22670" w:rsidRDefault="00D22670" w:rsidP="0009745F">
      <w:pPr>
        <w:spacing w:after="120"/>
        <w:rPr>
          <w:rFonts w:ascii="Arial" w:hAnsi="Arial" w:cs="Arial"/>
          <w:b/>
          <w:lang w:val="en-US" w:eastAsia="ja-JP"/>
        </w:rPr>
      </w:pPr>
    </w:p>
    <w:p w14:paraId="1D1F36C0" w14:textId="77777777" w:rsidR="00D22670" w:rsidRDefault="00D22670" w:rsidP="0009745F">
      <w:pPr>
        <w:spacing w:after="120"/>
        <w:rPr>
          <w:rFonts w:ascii="Arial" w:hAnsi="Arial" w:cs="Arial"/>
          <w:b/>
          <w:lang w:val="en-US" w:eastAsia="ja-JP"/>
        </w:rPr>
      </w:pPr>
    </w:p>
    <w:p w14:paraId="573BF28C" w14:textId="77777777" w:rsidR="00D22670" w:rsidRDefault="00D22670" w:rsidP="0009745F">
      <w:pPr>
        <w:spacing w:after="120"/>
        <w:rPr>
          <w:rFonts w:ascii="Arial" w:hAnsi="Arial" w:cs="Arial"/>
          <w:b/>
          <w:lang w:val="en-US" w:eastAsia="ja-JP"/>
        </w:rPr>
      </w:pPr>
    </w:p>
    <w:p w14:paraId="4A45A375" w14:textId="77777777" w:rsidR="00D22670" w:rsidRDefault="00D22670" w:rsidP="0009745F">
      <w:pPr>
        <w:spacing w:after="120"/>
        <w:rPr>
          <w:rFonts w:ascii="Arial" w:hAnsi="Arial" w:cs="Arial"/>
          <w:b/>
          <w:lang w:val="en-US" w:eastAsia="ja-JP"/>
        </w:rPr>
      </w:pPr>
    </w:p>
    <w:p w14:paraId="4E8B5873" w14:textId="77777777" w:rsidR="00D22670" w:rsidRDefault="00D22670" w:rsidP="0009745F">
      <w:pPr>
        <w:spacing w:after="120"/>
        <w:rPr>
          <w:rFonts w:ascii="Arial" w:hAnsi="Arial" w:cs="Arial"/>
          <w:b/>
          <w:lang w:val="en-US" w:eastAsia="ja-JP"/>
        </w:rPr>
      </w:pPr>
    </w:p>
    <w:p w14:paraId="2264977B" w14:textId="77777777" w:rsidR="00D22670" w:rsidRDefault="00D22670" w:rsidP="0009745F">
      <w:pPr>
        <w:spacing w:after="120"/>
        <w:rPr>
          <w:rFonts w:ascii="Arial" w:hAnsi="Arial" w:cs="Arial"/>
          <w:b/>
          <w:lang w:val="en-US" w:eastAsia="ja-JP"/>
        </w:rPr>
      </w:pPr>
    </w:p>
    <w:p w14:paraId="403E7C95" w14:textId="77777777" w:rsidR="00DA7C56" w:rsidRDefault="00DA7C56" w:rsidP="0009745F">
      <w:pPr>
        <w:spacing w:after="120"/>
        <w:rPr>
          <w:rFonts w:ascii="Arial" w:hAnsi="Arial" w:cs="Arial"/>
          <w:b/>
          <w:lang w:val="en-US" w:eastAsia="ja-JP"/>
        </w:rPr>
      </w:pPr>
    </w:p>
    <w:p w14:paraId="44CFE173" w14:textId="77777777" w:rsidR="00DA7C56" w:rsidRDefault="00DA7C56" w:rsidP="0009745F">
      <w:pPr>
        <w:spacing w:after="120"/>
        <w:rPr>
          <w:rFonts w:ascii="Arial" w:hAnsi="Arial" w:cs="Arial"/>
          <w:b/>
          <w:lang w:val="en-US" w:eastAsia="ja-JP"/>
        </w:rPr>
      </w:pPr>
    </w:p>
    <w:p w14:paraId="4AA1B349" w14:textId="77777777" w:rsidR="00DA7C56" w:rsidRDefault="00DA7C56" w:rsidP="0009745F">
      <w:pPr>
        <w:spacing w:after="120"/>
        <w:rPr>
          <w:rFonts w:ascii="Arial" w:hAnsi="Arial" w:cs="Arial"/>
          <w:b/>
          <w:lang w:val="en-US" w:eastAsia="ja-JP"/>
        </w:rPr>
      </w:pPr>
    </w:p>
    <w:p w14:paraId="1113C5FB" w14:textId="7608CCB2" w:rsidR="00F42E37" w:rsidRPr="00594888" w:rsidRDefault="00F42E37" w:rsidP="0009745F">
      <w:pPr>
        <w:spacing w:after="120"/>
        <w:rPr>
          <w:rFonts w:ascii="Arial" w:hAnsi="Arial" w:cs="Arial"/>
          <w:b/>
          <w:lang w:val="en-US" w:eastAsia="ja-JP"/>
        </w:rPr>
      </w:pPr>
      <w:r w:rsidRPr="00594888">
        <w:rPr>
          <w:rFonts w:ascii="Arial" w:hAnsi="Arial" w:cs="Arial"/>
          <w:b/>
          <w:lang w:val="en-US" w:eastAsia="ja-JP"/>
        </w:rPr>
        <w:t xml:space="preserve">Targeted support </w:t>
      </w:r>
    </w:p>
    <w:p w14:paraId="4F67826A" w14:textId="0A0B2F79" w:rsidR="00B353D4" w:rsidRPr="00594888" w:rsidRDefault="00B353D4" w:rsidP="003A7483">
      <w:pPr>
        <w:spacing w:before="120" w:after="120"/>
        <w:jc w:val="both"/>
        <w:rPr>
          <w:rFonts w:ascii="Arial" w:hAnsi="Arial" w:cs="Arial"/>
          <w:b/>
          <w:color w:val="367188"/>
          <w:lang w:val="en-US" w:eastAsia="ja-JP"/>
        </w:rPr>
      </w:pPr>
    </w:p>
    <w:tbl>
      <w:tblPr>
        <w:tblStyle w:val="TableGrid"/>
        <w:tblW w:w="14102" w:type="dxa"/>
        <w:jc w:val="center"/>
        <w:tblLook w:val="04A0" w:firstRow="1" w:lastRow="0" w:firstColumn="1" w:lastColumn="0" w:noHBand="0" w:noVBand="1"/>
      </w:tblPr>
      <w:tblGrid>
        <w:gridCol w:w="2123"/>
        <w:gridCol w:w="3524"/>
        <w:gridCol w:w="4053"/>
        <w:gridCol w:w="1404"/>
        <w:gridCol w:w="2998"/>
      </w:tblGrid>
      <w:tr w:rsidR="002406C6" w:rsidRPr="00594888" w14:paraId="12F9CB4D" w14:textId="77777777" w:rsidTr="002406C6">
        <w:trPr>
          <w:trHeight w:val="713"/>
          <w:jc w:val="center"/>
        </w:trPr>
        <w:tc>
          <w:tcPr>
            <w:tcW w:w="2123" w:type="dxa"/>
            <w:shd w:val="clear" w:color="auto" w:fill="347186"/>
            <w:vAlign w:val="center"/>
          </w:tcPr>
          <w:p w14:paraId="02A670D1"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Action</w:t>
            </w:r>
          </w:p>
        </w:tc>
        <w:tc>
          <w:tcPr>
            <w:tcW w:w="3524" w:type="dxa"/>
            <w:shd w:val="clear" w:color="auto" w:fill="347186"/>
            <w:vAlign w:val="center"/>
          </w:tcPr>
          <w:p w14:paraId="4642C0DE"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Intended outcome</w:t>
            </w:r>
          </w:p>
        </w:tc>
        <w:tc>
          <w:tcPr>
            <w:tcW w:w="4052" w:type="dxa"/>
            <w:shd w:val="clear" w:color="auto" w:fill="347186"/>
            <w:vAlign w:val="center"/>
          </w:tcPr>
          <w:p w14:paraId="09EDCE4F"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Estimated impact</w:t>
            </w:r>
          </w:p>
        </w:tc>
        <w:tc>
          <w:tcPr>
            <w:tcW w:w="1404" w:type="dxa"/>
            <w:shd w:val="clear" w:color="auto" w:fill="347186"/>
            <w:vAlign w:val="center"/>
          </w:tcPr>
          <w:p w14:paraId="03106606" w14:textId="77777777" w:rsidR="002406C6" w:rsidRPr="00594888" w:rsidRDefault="002406C6" w:rsidP="00604058">
            <w:pPr>
              <w:spacing w:before="120" w:after="120"/>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Cost</w:t>
            </w:r>
          </w:p>
        </w:tc>
        <w:tc>
          <w:tcPr>
            <w:tcW w:w="2997" w:type="dxa"/>
            <w:shd w:val="clear" w:color="auto" w:fill="347186"/>
            <w:vAlign w:val="center"/>
          </w:tcPr>
          <w:p w14:paraId="2726A5EF" w14:textId="77777777" w:rsidR="002406C6" w:rsidRPr="00594888" w:rsidRDefault="002406C6" w:rsidP="00604058">
            <w:pPr>
              <w:spacing w:before="120" w:after="120"/>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Staff lead</w:t>
            </w:r>
          </w:p>
        </w:tc>
      </w:tr>
      <w:tr w:rsidR="002406C6" w:rsidRPr="00594888" w14:paraId="64CEF22A" w14:textId="77777777" w:rsidTr="002406C6">
        <w:trPr>
          <w:trHeight w:val="1689"/>
          <w:jc w:val="center"/>
        </w:trPr>
        <w:tc>
          <w:tcPr>
            <w:tcW w:w="2123" w:type="dxa"/>
            <w:vAlign w:val="center"/>
          </w:tcPr>
          <w:p w14:paraId="13F90585" w14:textId="182E8DBF" w:rsidR="002406C6" w:rsidRPr="00594888" w:rsidRDefault="002406C6" w:rsidP="00604058">
            <w:pPr>
              <w:tabs>
                <w:tab w:val="left" w:pos="1560"/>
              </w:tabs>
              <w:suppressAutoHyphens/>
              <w:autoSpaceDN w:val="0"/>
              <w:textAlignment w:val="baseline"/>
              <w:rPr>
                <w:rFonts w:ascii="Arial" w:eastAsiaTheme="minorEastAsia" w:hAnsi="Arial" w:cs="Arial"/>
                <w:lang w:val="en-US" w:eastAsia="ja-JP"/>
              </w:rPr>
            </w:pPr>
            <w:r w:rsidRPr="00594888">
              <w:rPr>
                <w:rFonts w:ascii="Arial" w:eastAsiaTheme="minorEastAsia" w:hAnsi="Arial" w:cs="Arial"/>
                <w:lang w:val="en-US" w:eastAsia="ja-JP"/>
              </w:rPr>
              <w:t>Tuition</w:t>
            </w:r>
          </w:p>
        </w:tc>
        <w:tc>
          <w:tcPr>
            <w:tcW w:w="3524" w:type="dxa"/>
            <w:vAlign w:val="center"/>
          </w:tcPr>
          <w:p w14:paraId="535569CD" w14:textId="5197AE58" w:rsidR="002406C6" w:rsidRPr="00594888" w:rsidRDefault="002406C6" w:rsidP="009637AF">
            <w:pPr>
              <w:spacing w:before="120" w:after="120" w:line="276" w:lineRule="auto"/>
              <w:rPr>
                <w:rFonts w:ascii="Arial" w:eastAsiaTheme="minorEastAsia" w:hAnsi="Arial" w:cs="Arial"/>
                <w:lang w:val="en-US" w:eastAsia="ja-JP"/>
              </w:rPr>
            </w:pPr>
            <w:r w:rsidRPr="00594888">
              <w:rPr>
                <w:rFonts w:ascii="Arial" w:eastAsiaTheme="minorEastAsia" w:hAnsi="Arial" w:cs="Arial"/>
                <w:lang w:val="en-US" w:eastAsia="ja-JP"/>
              </w:rPr>
              <w:t xml:space="preserve">Targeted small group intervention to address identified areas of learning in reading and </w:t>
            </w:r>
            <w:proofErr w:type="spellStart"/>
            <w:r w:rsidRPr="00594888">
              <w:rPr>
                <w:rFonts w:ascii="Arial" w:eastAsiaTheme="minorEastAsia" w:hAnsi="Arial" w:cs="Arial"/>
                <w:lang w:val="en-US" w:eastAsia="ja-JP"/>
              </w:rPr>
              <w:t>maths</w:t>
            </w:r>
            <w:proofErr w:type="spellEnd"/>
            <w:r>
              <w:rPr>
                <w:rFonts w:ascii="Arial" w:eastAsiaTheme="minorEastAsia" w:hAnsi="Arial" w:cs="Arial"/>
                <w:lang w:val="en-US" w:eastAsia="ja-JP"/>
              </w:rPr>
              <w:t>.</w:t>
            </w:r>
          </w:p>
        </w:tc>
        <w:tc>
          <w:tcPr>
            <w:tcW w:w="4052" w:type="dxa"/>
            <w:vAlign w:val="center"/>
          </w:tcPr>
          <w:p w14:paraId="0EC8B6F1" w14:textId="111210EA" w:rsidR="002406C6" w:rsidRPr="00594888" w:rsidRDefault="002406C6" w:rsidP="00924EC2">
            <w:pPr>
              <w:spacing w:before="120" w:after="120" w:line="276" w:lineRule="auto"/>
              <w:rPr>
                <w:rFonts w:ascii="Arial" w:eastAsiaTheme="minorEastAsia" w:hAnsi="Arial" w:cs="Arial"/>
                <w:b/>
                <w:lang w:val="en-US" w:eastAsia="ja-JP"/>
              </w:rPr>
            </w:pPr>
            <w:r w:rsidRPr="00594888">
              <w:rPr>
                <w:rFonts w:ascii="Arial" w:eastAsiaTheme="minorEastAsia" w:hAnsi="Arial" w:cs="Arial"/>
                <w:lang w:val="en-US" w:eastAsia="ja-JP"/>
              </w:rPr>
              <w:t xml:space="preserve">Pupils progress will be accelerated to enable them to catch up on missed learning and reach age related expectations or individual learning goals </w:t>
            </w:r>
            <w:r w:rsidRPr="00594888">
              <w:rPr>
                <w:rFonts w:ascii="Arial" w:eastAsiaTheme="minorEastAsia" w:hAnsi="Arial" w:cs="Arial"/>
                <w:lang w:val="en-US" w:eastAsia="ja-JP"/>
              </w:rPr>
              <w:t>by the end of the academic year</w:t>
            </w:r>
            <w:r>
              <w:rPr>
                <w:rFonts w:ascii="Arial" w:eastAsiaTheme="minorEastAsia" w:hAnsi="Arial" w:cs="Arial"/>
                <w:lang w:val="en-US" w:eastAsia="ja-JP"/>
              </w:rPr>
              <w:t>.</w:t>
            </w:r>
          </w:p>
        </w:tc>
        <w:tc>
          <w:tcPr>
            <w:tcW w:w="1404" w:type="dxa"/>
            <w:vAlign w:val="center"/>
          </w:tcPr>
          <w:p w14:paraId="451EEA62" w14:textId="6915FC7C" w:rsidR="002406C6" w:rsidRPr="00594888" w:rsidRDefault="002406C6" w:rsidP="00604058">
            <w:pPr>
              <w:spacing w:before="120" w:after="120"/>
              <w:rPr>
                <w:rFonts w:ascii="Arial" w:eastAsiaTheme="minorEastAsia" w:hAnsi="Arial" w:cs="Arial"/>
                <w:lang w:val="en-US" w:eastAsia="ja-JP"/>
              </w:rPr>
            </w:pPr>
            <w:r w:rsidRPr="00594888">
              <w:rPr>
                <w:rFonts w:ascii="Arial" w:eastAsiaTheme="minorEastAsia" w:hAnsi="Arial" w:cs="Arial"/>
                <w:lang w:val="en-US" w:eastAsia="ja-JP"/>
              </w:rPr>
              <w:t xml:space="preserve">£ </w:t>
            </w:r>
            <w:r>
              <w:rPr>
                <w:rFonts w:ascii="Arial" w:eastAsiaTheme="minorEastAsia" w:hAnsi="Arial" w:cs="Arial"/>
                <w:lang w:val="en-US" w:eastAsia="ja-JP"/>
              </w:rPr>
              <w:t>20</w:t>
            </w:r>
            <w:r w:rsidRPr="00594888">
              <w:rPr>
                <w:rFonts w:ascii="Arial" w:eastAsiaTheme="minorEastAsia" w:hAnsi="Arial" w:cs="Arial"/>
                <w:lang w:val="en-US" w:eastAsia="ja-JP"/>
              </w:rPr>
              <w:t>,000</w:t>
            </w:r>
          </w:p>
        </w:tc>
        <w:tc>
          <w:tcPr>
            <w:tcW w:w="2997" w:type="dxa"/>
            <w:vAlign w:val="center"/>
          </w:tcPr>
          <w:p w14:paraId="4E12793C" w14:textId="40EABF70" w:rsidR="002406C6" w:rsidRPr="00594888" w:rsidRDefault="002406C6" w:rsidP="00604058">
            <w:pPr>
              <w:spacing w:before="120" w:after="120"/>
              <w:rPr>
                <w:rFonts w:ascii="Arial" w:eastAsiaTheme="minorEastAsia" w:hAnsi="Arial" w:cs="Arial"/>
                <w:lang w:val="en-US" w:eastAsia="ja-JP"/>
              </w:rPr>
            </w:pPr>
            <w:r w:rsidRPr="00594888">
              <w:rPr>
                <w:rFonts w:ascii="Arial" w:eastAsiaTheme="minorEastAsia" w:hAnsi="Arial" w:cs="Arial"/>
                <w:lang w:val="en-US" w:eastAsia="ja-JP"/>
              </w:rPr>
              <w:t>SLT</w:t>
            </w:r>
          </w:p>
        </w:tc>
      </w:tr>
      <w:tr w:rsidR="002406C6" w:rsidRPr="00594888" w14:paraId="75D1ABDE" w14:textId="4256F541" w:rsidTr="002406C6">
        <w:trPr>
          <w:trHeight w:val="125"/>
          <w:jc w:val="center"/>
        </w:trPr>
        <w:tc>
          <w:tcPr>
            <w:tcW w:w="9700" w:type="dxa"/>
            <w:gridSpan w:val="3"/>
            <w:shd w:val="clear" w:color="auto" w:fill="347186"/>
            <w:vAlign w:val="center"/>
          </w:tcPr>
          <w:p w14:paraId="1F71FD9D" w14:textId="77777777" w:rsidR="002406C6" w:rsidRPr="00594888" w:rsidRDefault="002406C6" w:rsidP="00604058">
            <w:pPr>
              <w:spacing w:before="120" w:after="120"/>
              <w:jc w:val="right"/>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Total spend:</w:t>
            </w:r>
          </w:p>
        </w:tc>
        <w:tc>
          <w:tcPr>
            <w:tcW w:w="4402" w:type="dxa"/>
            <w:gridSpan w:val="2"/>
            <w:shd w:val="clear" w:color="auto" w:fill="FFFFFF" w:themeFill="background1"/>
            <w:vAlign w:val="center"/>
          </w:tcPr>
          <w:p w14:paraId="731B351E" w14:textId="79664310" w:rsidR="002406C6" w:rsidRPr="00594888" w:rsidRDefault="002406C6" w:rsidP="00604058">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w:t>
            </w:r>
            <w:r>
              <w:rPr>
                <w:rFonts w:ascii="Arial" w:eastAsiaTheme="minorEastAsia" w:hAnsi="Arial" w:cs="Arial"/>
                <w:b/>
                <w:lang w:val="en-US" w:eastAsia="ja-JP"/>
              </w:rPr>
              <w:t>20,000</w:t>
            </w:r>
          </w:p>
        </w:tc>
      </w:tr>
    </w:tbl>
    <w:p w14:paraId="337EBAF8" w14:textId="07BB5A1D" w:rsidR="00F42E37" w:rsidRPr="00594888" w:rsidRDefault="00F42E37" w:rsidP="0009745F">
      <w:pPr>
        <w:spacing w:after="120"/>
        <w:rPr>
          <w:rFonts w:ascii="Arial" w:hAnsi="Arial" w:cs="Arial"/>
          <w:b/>
          <w:highlight w:val="yellow"/>
          <w:lang w:val="en-US" w:eastAsia="ja-JP"/>
        </w:rPr>
      </w:pPr>
    </w:p>
    <w:p w14:paraId="397CC4C1" w14:textId="2A78A5E6" w:rsidR="00F42E37" w:rsidRPr="00594888" w:rsidRDefault="00F42E37" w:rsidP="0009745F">
      <w:pPr>
        <w:spacing w:after="120"/>
        <w:rPr>
          <w:rFonts w:ascii="Arial" w:hAnsi="Arial" w:cs="Arial"/>
          <w:b/>
          <w:lang w:val="en-US" w:eastAsia="ja-JP"/>
        </w:rPr>
      </w:pPr>
      <w:r w:rsidRPr="00594888">
        <w:rPr>
          <w:rFonts w:ascii="Arial" w:hAnsi="Arial" w:cs="Arial"/>
          <w:b/>
          <w:lang w:val="en-US" w:eastAsia="ja-JP"/>
        </w:rPr>
        <w:t>Wider s</w:t>
      </w:r>
      <w:r w:rsidR="00727AD4" w:rsidRPr="00594888">
        <w:rPr>
          <w:rFonts w:ascii="Arial" w:hAnsi="Arial" w:cs="Arial"/>
          <w:b/>
          <w:lang w:val="en-US" w:eastAsia="ja-JP"/>
        </w:rPr>
        <w:t>trategies</w:t>
      </w:r>
      <w:r w:rsidRPr="00594888">
        <w:rPr>
          <w:rFonts w:ascii="Arial" w:hAnsi="Arial" w:cs="Arial"/>
          <w:b/>
          <w:lang w:val="en-US" w:eastAsia="ja-JP"/>
        </w:rPr>
        <w:t xml:space="preserve"> </w:t>
      </w:r>
    </w:p>
    <w:p w14:paraId="0C391E65" w14:textId="157D375C" w:rsidR="00B353D4" w:rsidRPr="00594888" w:rsidRDefault="00B353D4" w:rsidP="003A7483">
      <w:pPr>
        <w:spacing w:before="120" w:after="120"/>
        <w:jc w:val="both"/>
        <w:rPr>
          <w:rFonts w:ascii="Arial" w:hAnsi="Arial" w:cs="Arial"/>
          <w:b/>
          <w:color w:val="367188"/>
          <w:lang w:val="en-US" w:eastAsia="ja-JP"/>
        </w:rPr>
      </w:pPr>
    </w:p>
    <w:tbl>
      <w:tblPr>
        <w:tblStyle w:val="TableGrid"/>
        <w:tblW w:w="14152" w:type="dxa"/>
        <w:jc w:val="center"/>
        <w:tblLook w:val="04A0" w:firstRow="1" w:lastRow="0" w:firstColumn="1" w:lastColumn="0" w:noHBand="0" w:noVBand="1"/>
      </w:tblPr>
      <w:tblGrid>
        <w:gridCol w:w="2329"/>
        <w:gridCol w:w="3233"/>
        <w:gridCol w:w="4119"/>
        <w:gridCol w:w="1425"/>
        <w:gridCol w:w="3046"/>
      </w:tblGrid>
      <w:tr w:rsidR="002406C6" w:rsidRPr="00594888" w14:paraId="38714A35" w14:textId="77777777" w:rsidTr="002406C6">
        <w:trPr>
          <w:trHeight w:val="774"/>
          <w:jc w:val="center"/>
        </w:trPr>
        <w:tc>
          <w:tcPr>
            <w:tcW w:w="2329" w:type="dxa"/>
            <w:shd w:val="clear" w:color="auto" w:fill="347186"/>
            <w:vAlign w:val="center"/>
          </w:tcPr>
          <w:p w14:paraId="260851FC"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Action</w:t>
            </w:r>
          </w:p>
        </w:tc>
        <w:tc>
          <w:tcPr>
            <w:tcW w:w="3233" w:type="dxa"/>
            <w:shd w:val="clear" w:color="auto" w:fill="347186"/>
            <w:vAlign w:val="center"/>
          </w:tcPr>
          <w:p w14:paraId="283DF854"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Intended outcome</w:t>
            </w:r>
          </w:p>
        </w:tc>
        <w:tc>
          <w:tcPr>
            <w:tcW w:w="4117" w:type="dxa"/>
            <w:shd w:val="clear" w:color="auto" w:fill="347186"/>
            <w:vAlign w:val="center"/>
          </w:tcPr>
          <w:p w14:paraId="6C6C88CD" w14:textId="77777777" w:rsidR="002406C6" w:rsidRPr="00594888" w:rsidRDefault="002406C6" w:rsidP="00604058">
            <w:pPr>
              <w:spacing w:before="120" w:after="120" w:line="276" w:lineRule="auto"/>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Estimated impact</w:t>
            </w:r>
          </w:p>
        </w:tc>
        <w:tc>
          <w:tcPr>
            <w:tcW w:w="1425" w:type="dxa"/>
            <w:shd w:val="clear" w:color="auto" w:fill="347186"/>
            <w:vAlign w:val="center"/>
          </w:tcPr>
          <w:p w14:paraId="1AC91BF5" w14:textId="77777777" w:rsidR="002406C6" w:rsidRPr="00594888" w:rsidRDefault="002406C6" w:rsidP="00604058">
            <w:pPr>
              <w:spacing w:before="120" w:after="120"/>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Cost</w:t>
            </w:r>
          </w:p>
        </w:tc>
        <w:tc>
          <w:tcPr>
            <w:tcW w:w="3045" w:type="dxa"/>
            <w:shd w:val="clear" w:color="auto" w:fill="347186"/>
            <w:vAlign w:val="center"/>
          </w:tcPr>
          <w:p w14:paraId="304246AB" w14:textId="77777777" w:rsidR="002406C6" w:rsidRPr="00594888" w:rsidRDefault="002406C6" w:rsidP="00604058">
            <w:pPr>
              <w:spacing w:before="120" w:after="120"/>
              <w:jc w:val="center"/>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Staff lead</w:t>
            </w:r>
          </w:p>
        </w:tc>
      </w:tr>
      <w:tr w:rsidR="002406C6" w:rsidRPr="00594888" w14:paraId="2A4FC190" w14:textId="77777777" w:rsidTr="002406C6">
        <w:trPr>
          <w:trHeight w:val="1983"/>
          <w:jc w:val="center"/>
        </w:trPr>
        <w:tc>
          <w:tcPr>
            <w:tcW w:w="2329" w:type="dxa"/>
            <w:vAlign w:val="center"/>
          </w:tcPr>
          <w:p w14:paraId="6D3896C3" w14:textId="314E82FD" w:rsidR="002406C6" w:rsidRPr="00594888" w:rsidRDefault="002406C6" w:rsidP="00604058">
            <w:pPr>
              <w:tabs>
                <w:tab w:val="left" w:pos="1560"/>
              </w:tabs>
              <w:suppressAutoHyphens/>
              <w:autoSpaceDN w:val="0"/>
              <w:textAlignment w:val="baseline"/>
              <w:rPr>
                <w:rFonts w:ascii="Arial" w:eastAsiaTheme="minorEastAsia" w:hAnsi="Arial" w:cs="Arial"/>
                <w:b/>
                <w:lang w:val="en-US" w:eastAsia="ja-JP"/>
              </w:rPr>
            </w:pPr>
            <w:r w:rsidRPr="00594888">
              <w:rPr>
                <w:rFonts w:ascii="Arial" w:hAnsi="Arial" w:cs="Arial"/>
              </w:rPr>
              <w:t>Purchase Tutor Mate for Year 1 and Year 2</w:t>
            </w:r>
          </w:p>
        </w:tc>
        <w:tc>
          <w:tcPr>
            <w:tcW w:w="3233" w:type="dxa"/>
            <w:vAlign w:val="center"/>
          </w:tcPr>
          <w:p w14:paraId="2EFCA9EE" w14:textId="12408E16" w:rsidR="002406C6" w:rsidRPr="00594888" w:rsidRDefault="002406C6" w:rsidP="00604058">
            <w:pPr>
              <w:spacing w:before="120" w:after="120" w:line="276" w:lineRule="auto"/>
              <w:rPr>
                <w:rFonts w:ascii="Arial" w:eastAsiaTheme="minorEastAsia" w:hAnsi="Arial" w:cs="Arial"/>
                <w:b/>
                <w:lang w:val="en-US" w:eastAsia="ja-JP"/>
              </w:rPr>
            </w:pPr>
            <w:r w:rsidRPr="00594888">
              <w:rPr>
                <w:rFonts w:ascii="Arial" w:hAnsi="Arial" w:cs="Arial"/>
              </w:rPr>
              <w:t>To support accelerating reading for pupils identified as requiring further support in order to reach age related expectations</w:t>
            </w:r>
            <w:r>
              <w:rPr>
                <w:rFonts w:ascii="Arial" w:hAnsi="Arial" w:cs="Arial"/>
              </w:rPr>
              <w:t>.</w:t>
            </w:r>
          </w:p>
        </w:tc>
        <w:tc>
          <w:tcPr>
            <w:tcW w:w="4117" w:type="dxa"/>
            <w:vAlign w:val="center"/>
          </w:tcPr>
          <w:p w14:paraId="2E0FE94D" w14:textId="75858A55" w:rsidR="002406C6" w:rsidRPr="00594888" w:rsidRDefault="002406C6" w:rsidP="00604058">
            <w:pPr>
              <w:spacing w:before="120" w:after="120" w:line="276" w:lineRule="auto"/>
              <w:rPr>
                <w:rFonts w:ascii="Arial" w:eastAsiaTheme="minorEastAsia" w:hAnsi="Arial" w:cs="Arial"/>
                <w:b/>
                <w:lang w:val="en-US" w:eastAsia="ja-JP"/>
              </w:rPr>
            </w:pPr>
            <w:r w:rsidRPr="00594888">
              <w:rPr>
                <w:rFonts w:ascii="Arial" w:eastAsiaTheme="minorEastAsia" w:hAnsi="Arial" w:cs="Arial"/>
                <w:lang w:val="en-US" w:eastAsia="ja-JP"/>
              </w:rPr>
              <w:t>Pupils progress will be accelerated</w:t>
            </w:r>
            <w:r>
              <w:rPr>
                <w:rFonts w:ascii="Arial" w:eastAsiaTheme="minorEastAsia" w:hAnsi="Arial" w:cs="Arial"/>
                <w:lang w:val="en-US" w:eastAsia="ja-JP"/>
              </w:rPr>
              <w:t xml:space="preserve"> so that pupils are able to read age appropriate texts</w:t>
            </w:r>
          </w:p>
        </w:tc>
        <w:tc>
          <w:tcPr>
            <w:tcW w:w="1425" w:type="dxa"/>
            <w:vAlign w:val="center"/>
          </w:tcPr>
          <w:p w14:paraId="337600A5" w14:textId="43382B71" w:rsidR="002406C6" w:rsidRPr="00594888" w:rsidRDefault="002406C6" w:rsidP="00604058">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w:t>
            </w:r>
            <w:r w:rsidRPr="003E37E8">
              <w:rPr>
                <w:rFonts w:ascii="Arial" w:hAnsi="Arial" w:cs="Arial"/>
                <w:b/>
              </w:rPr>
              <w:t>1200</w:t>
            </w:r>
          </w:p>
        </w:tc>
        <w:tc>
          <w:tcPr>
            <w:tcW w:w="3045" w:type="dxa"/>
            <w:vAlign w:val="center"/>
          </w:tcPr>
          <w:p w14:paraId="51039355" w14:textId="2A53AAA9" w:rsidR="002406C6" w:rsidRPr="00594888" w:rsidRDefault="002406C6" w:rsidP="00604058">
            <w:pPr>
              <w:spacing w:before="120" w:after="120"/>
              <w:rPr>
                <w:rFonts w:ascii="Arial" w:eastAsiaTheme="minorEastAsia" w:hAnsi="Arial" w:cs="Arial"/>
                <w:b/>
                <w:lang w:val="en-US" w:eastAsia="ja-JP"/>
              </w:rPr>
            </w:pPr>
            <w:r>
              <w:rPr>
                <w:rFonts w:ascii="Arial" w:eastAsiaTheme="minorEastAsia" w:hAnsi="Arial" w:cs="Arial"/>
                <w:b/>
                <w:lang w:val="en-US" w:eastAsia="ja-JP"/>
              </w:rPr>
              <w:t>English Lead</w:t>
            </w:r>
          </w:p>
        </w:tc>
      </w:tr>
      <w:tr w:rsidR="002406C6" w:rsidRPr="00594888" w14:paraId="3D0D727B" w14:textId="77777777" w:rsidTr="002406C6">
        <w:trPr>
          <w:trHeight w:val="1827"/>
          <w:jc w:val="center"/>
        </w:trPr>
        <w:tc>
          <w:tcPr>
            <w:tcW w:w="2329" w:type="dxa"/>
          </w:tcPr>
          <w:p w14:paraId="50C17D4A" w14:textId="768EE8E5" w:rsidR="002406C6" w:rsidRPr="00594888" w:rsidRDefault="002406C6" w:rsidP="006651C4">
            <w:pPr>
              <w:spacing w:before="120" w:after="120"/>
              <w:rPr>
                <w:rFonts w:ascii="Arial" w:eastAsiaTheme="minorEastAsia" w:hAnsi="Arial" w:cs="Arial"/>
                <w:b/>
                <w:lang w:val="en-US" w:eastAsia="ja-JP"/>
              </w:rPr>
            </w:pPr>
            <w:r>
              <w:rPr>
                <w:rFonts w:ascii="Arial" w:hAnsi="Arial" w:cs="Arial"/>
              </w:rPr>
              <w:lastRenderedPageBreak/>
              <w:t xml:space="preserve">Purchase </w:t>
            </w:r>
            <w:r w:rsidRPr="00594888">
              <w:rPr>
                <w:rFonts w:ascii="Arial" w:hAnsi="Arial" w:cs="Arial"/>
              </w:rPr>
              <w:t>Marvellous Me</w:t>
            </w:r>
          </w:p>
        </w:tc>
        <w:tc>
          <w:tcPr>
            <w:tcW w:w="3233" w:type="dxa"/>
            <w:vAlign w:val="center"/>
          </w:tcPr>
          <w:p w14:paraId="64868B67" w14:textId="75FE80A7" w:rsidR="002406C6" w:rsidRPr="00594888" w:rsidRDefault="002406C6" w:rsidP="006651C4">
            <w:pPr>
              <w:tabs>
                <w:tab w:val="left" w:pos="3315"/>
              </w:tabs>
              <w:rPr>
                <w:rFonts w:ascii="Arial" w:hAnsi="Arial" w:cs="Arial"/>
              </w:rPr>
            </w:pPr>
            <w:r w:rsidRPr="00594888">
              <w:rPr>
                <w:rFonts w:ascii="Arial" w:hAnsi="Arial" w:cs="Arial"/>
              </w:rPr>
              <w:t xml:space="preserve">Increase communication between parents and school.  </w:t>
            </w:r>
          </w:p>
          <w:p w14:paraId="189EE82E" w14:textId="0477E377" w:rsidR="002406C6" w:rsidRPr="00594888" w:rsidRDefault="002406C6" w:rsidP="006651C4">
            <w:pPr>
              <w:tabs>
                <w:tab w:val="left" w:pos="3315"/>
              </w:tabs>
              <w:rPr>
                <w:rFonts w:ascii="Arial" w:hAnsi="Arial" w:cs="Arial"/>
              </w:rPr>
            </w:pPr>
            <w:r w:rsidRPr="00594888">
              <w:rPr>
                <w:rFonts w:ascii="Arial" w:hAnsi="Arial" w:cs="Arial"/>
              </w:rPr>
              <w:t>Provide pupils with positive feedback on their learning.</w:t>
            </w:r>
          </w:p>
          <w:p w14:paraId="29F060C4" w14:textId="4ED31103" w:rsidR="002406C6" w:rsidRPr="00594888" w:rsidRDefault="002406C6" w:rsidP="006651C4">
            <w:pPr>
              <w:spacing w:before="120" w:after="120"/>
              <w:rPr>
                <w:rFonts w:ascii="Arial" w:eastAsiaTheme="minorEastAsia" w:hAnsi="Arial" w:cs="Arial"/>
                <w:b/>
                <w:lang w:val="en-US" w:eastAsia="ja-JP"/>
              </w:rPr>
            </w:pPr>
            <w:r w:rsidRPr="00594888">
              <w:rPr>
                <w:rFonts w:ascii="Arial" w:hAnsi="Arial" w:cs="Arial"/>
              </w:rPr>
              <w:t>Enable teachers to send learning home directly to pupils who are isolating</w:t>
            </w:r>
            <w:r>
              <w:rPr>
                <w:rFonts w:ascii="Arial" w:hAnsi="Arial" w:cs="Arial"/>
              </w:rPr>
              <w:t>.</w:t>
            </w:r>
          </w:p>
        </w:tc>
        <w:tc>
          <w:tcPr>
            <w:tcW w:w="4117" w:type="dxa"/>
            <w:vAlign w:val="center"/>
          </w:tcPr>
          <w:p w14:paraId="05BD13BA" w14:textId="7D52FB5A" w:rsidR="002406C6" w:rsidRPr="00594888" w:rsidRDefault="002406C6" w:rsidP="00962BFA">
            <w:pPr>
              <w:spacing w:before="120" w:after="120"/>
              <w:rPr>
                <w:rFonts w:ascii="Arial" w:eastAsiaTheme="minorEastAsia" w:hAnsi="Arial" w:cs="Arial"/>
                <w:lang w:val="en-US" w:eastAsia="ja-JP"/>
              </w:rPr>
            </w:pPr>
            <w:r w:rsidRPr="00594888">
              <w:rPr>
                <w:rFonts w:ascii="Arial" w:eastAsiaTheme="minorEastAsia" w:hAnsi="Arial" w:cs="Arial"/>
                <w:lang w:val="en-US" w:eastAsia="ja-JP"/>
              </w:rPr>
              <w:t>Increased engagement from pupils and parents</w:t>
            </w:r>
            <w:r>
              <w:rPr>
                <w:rFonts w:ascii="Arial" w:eastAsiaTheme="minorEastAsia" w:hAnsi="Arial" w:cs="Arial"/>
                <w:lang w:val="en-US" w:eastAsia="ja-JP"/>
              </w:rPr>
              <w:t xml:space="preserve"> and a significant positive impact on pupil engagement with learning. This will support pupils in reaching their individual learning goals.</w:t>
            </w:r>
          </w:p>
        </w:tc>
        <w:tc>
          <w:tcPr>
            <w:tcW w:w="1425" w:type="dxa"/>
            <w:vAlign w:val="center"/>
          </w:tcPr>
          <w:p w14:paraId="41AA75DA" w14:textId="3AE3DD54" w:rsidR="002406C6" w:rsidRPr="00594888" w:rsidRDefault="002406C6" w:rsidP="006651C4">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w:t>
            </w:r>
            <w:r w:rsidRPr="00724D48">
              <w:rPr>
                <w:rFonts w:ascii="Arial" w:eastAsiaTheme="minorEastAsia" w:hAnsi="Arial" w:cs="Arial"/>
                <w:b/>
                <w:lang w:val="en-US" w:eastAsia="ja-JP"/>
              </w:rPr>
              <w:t>800</w:t>
            </w:r>
          </w:p>
        </w:tc>
        <w:tc>
          <w:tcPr>
            <w:tcW w:w="3045" w:type="dxa"/>
            <w:vAlign w:val="center"/>
          </w:tcPr>
          <w:p w14:paraId="4377F746" w14:textId="00F45443" w:rsidR="002406C6" w:rsidRPr="00594888" w:rsidRDefault="002406C6" w:rsidP="006651C4">
            <w:pPr>
              <w:spacing w:before="120" w:after="120"/>
              <w:rPr>
                <w:rFonts w:ascii="Arial" w:eastAsiaTheme="minorEastAsia" w:hAnsi="Arial" w:cs="Arial"/>
                <w:b/>
                <w:lang w:val="en-US" w:eastAsia="ja-JP"/>
              </w:rPr>
            </w:pPr>
            <w:r>
              <w:rPr>
                <w:rFonts w:ascii="Arial" w:eastAsiaTheme="minorEastAsia" w:hAnsi="Arial" w:cs="Arial"/>
                <w:b/>
                <w:lang w:val="en-US" w:eastAsia="ja-JP"/>
              </w:rPr>
              <w:t>SLT</w:t>
            </w:r>
          </w:p>
        </w:tc>
      </w:tr>
      <w:tr w:rsidR="002406C6" w:rsidRPr="00594888" w14:paraId="49798461" w14:textId="77777777" w:rsidTr="002406C6">
        <w:trPr>
          <w:trHeight w:val="1827"/>
          <w:jc w:val="center"/>
        </w:trPr>
        <w:tc>
          <w:tcPr>
            <w:tcW w:w="2329" w:type="dxa"/>
          </w:tcPr>
          <w:p w14:paraId="32B8B960" w14:textId="52E2C403" w:rsidR="002406C6" w:rsidRPr="00594888" w:rsidRDefault="002406C6" w:rsidP="006651C4">
            <w:pPr>
              <w:spacing w:before="120" w:after="120"/>
              <w:rPr>
                <w:rFonts w:ascii="Arial" w:hAnsi="Arial" w:cs="Arial"/>
              </w:rPr>
            </w:pPr>
            <w:r>
              <w:rPr>
                <w:rFonts w:ascii="Arial" w:hAnsi="Arial" w:cs="Arial"/>
              </w:rPr>
              <w:t>Purchase Online resources</w:t>
            </w:r>
          </w:p>
        </w:tc>
        <w:tc>
          <w:tcPr>
            <w:tcW w:w="3233" w:type="dxa"/>
            <w:vAlign w:val="center"/>
          </w:tcPr>
          <w:p w14:paraId="1EC09976" w14:textId="77777777" w:rsidR="002406C6" w:rsidRDefault="002406C6" w:rsidP="006651C4">
            <w:pPr>
              <w:tabs>
                <w:tab w:val="left" w:pos="3315"/>
              </w:tabs>
              <w:rPr>
                <w:rFonts w:ascii="Arial" w:hAnsi="Arial" w:cs="Arial"/>
              </w:rPr>
            </w:pPr>
            <w:r>
              <w:rPr>
                <w:rFonts w:ascii="Arial" w:hAnsi="Arial" w:cs="Arial"/>
              </w:rPr>
              <w:t>To facilitate home learning and support pupils and parents in completing learning task</w:t>
            </w:r>
            <w:r>
              <w:rPr>
                <w:rFonts w:ascii="Arial" w:hAnsi="Arial" w:cs="Arial"/>
              </w:rPr>
              <w:t>.</w:t>
            </w:r>
          </w:p>
          <w:p w14:paraId="75107A4F" w14:textId="77777777" w:rsidR="002406C6" w:rsidRDefault="002406C6" w:rsidP="006651C4">
            <w:pPr>
              <w:tabs>
                <w:tab w:val="left" w:pos="3315"/>
              </w:tabs>
              <w:rPr>
                <w:rFonts w:ascii="Arial" w:hAnsi="Arial" w:cs="Arial"/>
              </w:rPr>
            </w:pPr>
          </w:p>
          <w:p w14:paraId="732B9441" w14:textId="77777777" w:rsidR="002406C6" w:rsidRDefault="002406C6" w:rsidP="00773C73">
            <w:pPr>
              <w:tabs>
                <w:tab w:val="left" w:pos="3315"/>
              </w:tabs>
              <w:rPr>
                <w:rFonts w:ascii="Arial" w:hAnsi="Arial" w:cs="Arial"/>
              </w:rPr>
            </w:pPr>
            <w:r>
              <w:rPr>
                <w:rFonts w:ascii="Arial" w:hAnsi="Arial" w:cs="Arial"/>
              </w:rPr>
              <w:t>To enable pupils to access quality resources to support learning and aid recall and retention.</w:t>
            </w:r>
          </w:p>
          <w:p w14:paraId="57FAEC02" w14:textId="77777777" w:rsidR="002406C6" w:rsidRDefault="002406C6" w:rsidP="00773C73">
            <w:pPr>
              <w:tabs>
                <w:tab w:val="left" w:pos="3315"/>
              </w:tabs>
              <w:rPr>
                <w:rFonts w:ascii="Arial" w:hAnsi="Arial" w:cs="Arial"/>
              </w:rPr>
            </w:pPr>
          </w:p>
          <w:p w14:paraId="73AC66B2" w14:textId="403C79AF" w:rsidR="002406C6" w:rsidRPr="00594888" w:rsidRDefault="002406C6" w:rsidP="00773C73">
            <w:pPr>
              <w:tabs>
                <w:tab w:val="left" w:pos="3315"/>
              </w:tabs>
              <w:rPr>
                <w:rFonts w:ascii="Arial" w:hAnsi="Arial" w:cs="Arial"/>
              </w:rPr>
            </w:pPr>
            <w:r>
              <w:rPr>
                <w:rFonts w:ascii="Arial" w:hAnsi="Arial" w:cs="Arial"/>
              </w:rPr>
              <w:t xml:space="preserve">To increase pupil engagement with learning including remote and home learning </w:t>
            </w:r>
          </w:p>
        </w:tc>
        <w:tc>
          <w:tcPr>
            <w:tcW w:w="4117" w:type="dxa"/>
            <w:vAlign w:val="center"/>
          </w:tcPr>
          <w:p w14:paraId="6CF52063" w14:textId="77777777" w:rsidR="002406C6" w:rsidRDefault="002406C6" w:rsidP="00724D48">
            <w:pPr>
              <w:spacing w:before="120" w:after="120"/>
              <w:rPr>
                <w:rFonts w:ascii="Arial" w:eastAsiaTheme="minorEastAsia" w:hAnsi="Arial" w:cs="Arial"/>
                <w:lang w:val="en-US" w:eastAsia="ja-JP"/>
              </w:rPr>
            </w:pPr>
            <w:r>
              <w:rPr>
                <w:rFonts w:ascii="Arial" w:eastAsiaTheme="minorEastAsia" w:hAnsi="Arial" w:cs="Arial"/>
                <w:lang w:val="en-US" w:eastAsia="ja-JP"/>
              </w:rPr>
              <w:t>S</w:t>
            </w:r>
            <w:r>
              <w:rPr>
                <w:rFonts w:ascii="Arial" w:eastAsiaTheme="minorEastAsia" w:hAnsi="Arial" w:cs="Arial"/>
                <w:lang w:val="en-US" w:eastAsia="ja-JP"/>
              </w:rPr>
              <w:t>ignificant positive impact on pupil engagement with learning</w:t>
            </w:r>
            <w:r>
              <w:rPr>
                <w:rFonts w:ascii="Arial" w:eastAsiaTheme="minorEastAsia" w:hAnsi="Arial" w:cs="Arial"/>
                <w:lang w:val="en-US" w:eastAsia="ja-JP"/>
              </w:rPr>
              <w:t xml:space="preserve"> particularly when learning from home.</w:t>
            </w:r>
          </w:p>
          <w:p w14:paraId="37ECBE2A" w14:textId="7B85D2CE" w:rsidR="002406C6" w:rsidRPr="00594888" w:rsidRDefault="002406C6" w:rsidP="00724D48">
            <w:pPr>
              <w:spacing w:before="120" w:after="120"/>
              <w:rPr>
                <w:rFonts w:ascii="Arial" w:eastAsiaTheme="minorEastAsia" w:hAnsi="Arial" w:cs="Arial"/>
                <w:lang w:val="en-US" w:eastAsia="ja-JP"/>
              </w:rPr>
            </w:pPr>
            <w:r w:rsidRPr="00594888">
              <w:rPr>
                <w:rFonts w:ascii="Arial" w:eastAsiaTheme="minorEastAsia" w:hAnsi="Arial" w:cs="Arial"/>
                <w:lang w:val="en-US" w:eastAsia="ja-JP"/>
              </w:rPr>
              <w:t>Pupils progress will be accelerated to enable them to catch up on missed learning and reach age related expectations or individual learning goals by the end of the academic year</w:t>
            </w:r>
            <w:r>
              <w:rPr>
                <w:rFonts w:ascii="Arial" w:eastAsiaTheme="minorEastAsia" w:hAnsi="Arial" w:cs="Arial"/>
                <w:lang w:val="en-US" w:eastAsia="ja-JP"/>
              </w:rPr>
              <w:t>.</w:t>
            </w:r>
          </w:p>
        </w:tc>
        <w:tc>
          <w:tcPr>
            <w:tcW w:w="1425" w:type="dxa"/>
            <w:vAlign w:val="center"/>
          </w:tcPr>
          <w:p w14:paraId="104822B5" w14:textId="291F3322" w:rsidR="002406C6" w:rsidRPr="00594888" w:rsidRDefault="002406C6" w:rsidP="006651C4">
            <w:pPr>
              <w:spacing w:before="120" w:after="120"/>
              <w:rPr>
                <w:rFonts w:ascii="Arial" w:eastAsiaTheme="minorEastAsia" w:hAnsi="Arial" w:cs="Arial"/>
                <w:b/>
                <w:lang w:val="en-US" w:eastAsia="ja-JP"/>
              </w:rPr>
            </w:pPr>
            <w:r>
              <w:rPr>
                <w:rFonts w:ascii="Arial" w:eastAsiaTheme="minorEastAsia" w:hAnsi="Arial" w:cs="Arial"/>
                <w:b/>
                <w:lang w:val="en-US" w:eastAsia="ja-JP"/>
              </w:rPr>
              <w:t>£7,400</w:t>
            </w:r>
          </w:p>
        </w:tc>
        <w:tc>
          <w:tcPr>
            <w:tcW w:w="3045" w:type="dxa"/>
            <w:vAlign w:val="center"/>
          </w:tcPr>
          <w:p w14:paraId="3A683E3D" w14:textId="54A32AD0" w:rsidR="002406C6" w:rsidRDefault="002406C6" w:rsidP="006651C4">
            <w:pPr>
              <w:spacing w:before="120" w:after="120"/>
              <w:rPr>
                <w:rFonts w:ascii="Arial" w:eastAsiaTheme="minorEastAsia" w:hAnsi="Arial" w:cs="Arial"/>
                <w:b/>
                <w:lang w:val="en-US" w:eastAsia="ja-JP"/>
              </w:rPr>
            </w:pPr>
            <w:r>
              <w:rPr>
                <w:rFonts w:ascii="Arial" w:eastAsiaTheme="minorEastAsia" w:hAnsi="Arial" w:cs="Arial"/>
                <w:b/>
                <w:lang w:val="en-US" w:eastAsia="ja-JP"/>
              </w:rPr>
              <w:t>SLT</w:t>
            </w:r>
          </w:p>
        </w:tc>
      </w:tr>
      <w:tr w:rsidR="002406C6" w:rsidRPr="00594888" w14:paraId="15D768F6" w14:textId="2146FB2D" w:rsidTr="002406C6">
        <w:trPr>
          <w:trHeight w:val="135"/>
          <w:jc w:val="center"/>
        </w:trPr>
        <w:tc>
          <w:tcPr>
            <w:tcW w:w="9681" w:type="dxa"/>
            <w:gridSpan w:val="3"/>
            <w:shd w:val="clear" w:color="auto" w:fill="347186"/>
            <w:vAlign w:val="center"/>
          </w:tcPr>
          <w:p w14:paraId="506CD151" w14:textId="77777777" w:rsidR="002406C6" w:rsidRPr="00594888" w:rsidRDefault="002406C6" w:rsidP="006651C4">
            <w:pPr>
              <w:spacing w:before="120" w:after="120"/>
              <w:jc w:val="right"/>
              <w:rPr>
                <w:rFonts w:ascii="Arial" w:eastAsiaTheme="minorEastAsia" w:hAnsi="Arial" w:cs="Arial"/>
                <w:b/>
                <w:color w:val="FFFFFF" w:themeColor="background1"/>
                <w:lang w:val="en-US" w:eastAsia="ja-JP"/>
              </w:rPr>
            </w:pPr>
            <w:r w:rsidRPr="00594888">
              <w:rPr>
                <w:rFonts w:ascii="Arial" w:eastAsiaTheme="minorEastAsia" w:hAnsi="Arial" w:cs="Arial"/>
                <w:b/>
                <w:color w:val="FFFFFF" w:themeColor="background1"/>
                <w:lang w:val="en-US" w:eastAsia="ja-JP"/>
              </w:rPr>
              <w:t>Total spend:</w:t>
            </w:r>
          </w:p>
        </w:tc>
        <w:tc>
          <w:tcPr>
            <w:tcW w:w="4471" w:type="dxa"/>
            <w:gridSpan w:val="2"/>
            <w:shd w:val="clear" w:color="auto" w:fill="FFFFFF" w:themeFill="background1"/>
            <w:vAlign w:val="center"/>
          </w:tcPr>
          <w:p w14:paraId="79A6FA25" w14:textId="0D627EFB" w:rsidR="002406C6" w:rsidRPr="00594888" w:rsidRDefault="002406C6" w:rsidP="003E37E8">
            <w:pPr>
              <w:spacing w:before="120" w:after="120"/>
              <w:rPr>
                <w:rFonts w:ascii="Arial" w:eastAsiaTheme="minorEastAsia" w:hAnsi="Arial" w:cs="Arial"/>
                <w:b/>
                <w:lang w:val="en-US" w:eastAsia="ja-JP"/>
              </w:rPr>
            </w:pPr>
            <w:r w:rsidRPr="00594888">
              <w:rPr>
                <w:rFonts w:ascii="Arial" w:eastAsiaTheme="minorEastAsia" w:hAnsi="Arial" w:cs="Arial"/>
                <w:b/>
                <w:lang w:val="en-US" w:eastAsia="ja-JP"/>
              </w:rPr>
              <w:t>£</w:t>
            </w:r>
            <w:r w:rsidR="003E37E8">
              <w:rPr>
                <w:rFonts w:ascii="Arial" w:eastAsiaTheme="minorEastAsia" w:hAnsi="Arial" w:cs="Arial"/>
                <w:b/>
                <w:lang w:val="en-US" w:eastAsia="ja-JP"/>
              </w:rPr>
              <w:t>9400</w:t>
            </w:r>
          </w:p>
        </w:tc>
      </w:tr>
    </w:tbl>
    <w:p w14:paraId="0F46B131" w14:textId="77777777" w:rsidR="00F42E37" w:rsidRPr="00594888" w:rsidRDefault="00F42E37" w:rsidP="0009745F">
      <w:pPr>
        <w:spacing w:after="120"/>
        <w:rPr>
          <w:rFonts w:ascii="Arial" w:hAnsi="Arial" w:cs="Arial"/>
          <w:b/>
          <w:lang w:val="en-US" w:eastAsia="ja-JP"/>
        </w:rPr>
      </w:pPr>
    </w:p>
    <w:sectPr w:rsidR="00F42E37" w:rsidRPr="00594888" w:rsidSect="00EE4A72">
      <w:headerReference w:type="first" r:id="rId9"/>
      <w:pgSz w:w="16838" w:h="11906" w:orient="landscape"/>
      <w:pgMar w:top="-1297" w:right="1440" w:bottom="709" w:left="1440" w:header="0"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515E13" w14:textId="77777777" w:rsidR="00316C1F" w:rsidRDefault="00316C1F">
      <w:pPr>
        <w:spacing w:after="0" w:line="240" w:lineRule="auto"/>
      </w:pPr>
      <w:r>
        <w:separator/>
      </w:r>
    </w:p>
  </w:endnote>
  <w:endnote w:type="continuationSeparator" w:id="0">
    <w:p w14:paraId="557AC3BB" w14:textId="77777777" w:rsidR="00316C1F" w:rsidRDefault="00316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6F6F2" w14:textId="77777777" w:rsidR="00316C1F" w:rsidRDefault="00316C1F">
      <w:pPr>
        <w:spacing w:after="0" w:line="240" w:lineRule="auto"/>
      </w:pPr>
      <w:r>
        <w:separator/>
      </w:r>
    </w:p>
  </w:footnote>
  <w:footnote w:type="continuationSeparator" w:id="0">
    <w:p w14:paraId="18322000" w14:textId="77777777" w:rsidR="00316C1F" w:rsidRDefault="00316C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A1935" w14:textId="12667443" w:rsidR="00DA7C56" w:rsidRDefault="00DA7C56">
    <w:pPr>
      <w:pStyle w:val="Header"/>
    </w:pPr>
    <w:r>
      <w:rPr>
        <w:noProof/>
        <w:lang w:eastAsia="en-GB"/>
      </w:rPr>
      <w:drawing>
        <wp:anchor distT="0" distB="0" distL="114300" distR="114300" simplePos="0" relativeHeight="251658240" behindDoc="0" locked="0" layoutInCell="1" allowOverlap="1" wp14:editId="1F899B55">
          <wp:simplePos x="0" y="0"/>
          <wp:positionH relativeFrom="column">
            <wp:posOffset>-775970</wp:posOffset>
          </wp:positionH>
          <wp:positionV relativeFrom="paragraph">
            <wp:posOffset>132715</wp:posOffset>
          </wp:positionV>
          <wp:extent cx="748030" cy="742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8030" cy="742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57B52"/>
    <w:multiLevelType w:val="hybridMultilevel"/>
    <w:tmpl w:val="82B62620"/>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4521CD"/>
    <w:multiLevelType w:val="hybridMultilevel"/>
    <w:tmpl w:val="D5AEF63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82C2431"/>
    <w:multiLevelType w:val="hybridMultilevel"/>
    <w:tmpl w:val="3B5CC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3375D3"/>
    <w:multiLevelType w:val="hybridMultilevel"/>
    <w:tmpl w:val="7AFED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BCE4527"/>
    <w:multiLevelType w:val="hybridMultilevel"/>
    <w:tmpl w:val="19BA47C6"/>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7B038E"/>
    <w:multiLevelType w:val="hybridMultilevel"/>
    <w:tmpl w:val="9D9CE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F284D97"/>
    <w:multiLevelType w:val="hybridMultilevel"/>
    <w:tmpl w:val="41BEA91C"/>
    <w:lvl w:ilvl="0" w:tplc="69264090">
      <w:start w:val="1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0E46E9"/>
    <w:multiLevelType w:val="hybridMultilevel"/>
    <w:tmpl w:val="3404F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813E4A"/>
    <w:multiLevelType w:val="hybridMultilevel"/>
    <w:tmpl w:val="D93C88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D86110A"/>
    <w:multiLevelType w:val="hybridMultilevel"/>
    <w:tmpl w:val="C42661A4"/>
    <w:lvl w:ilvl="0" w:tplc="650AB188">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60664F"/>
    <w:multiLevelType w:val="hybridMultilevel"/>
    <w:tmpl w:val="71EAB9B6"/>
    <w:lvl w:ilvl="0" w:tplc="08090001">
      <w:start w:val="1"/>
      <w:numFmt w:val="bullet"/>
      <w:lvlText w:val=""/>
      <w:lvlJc w:val="left"/>
      <w:pPr>
        <w:ind w:left="1455" w:hanging="360"/>
      </w:pPr>
      <w:rPr>
        <w:rFonts w:ascii="Symbol" w:hAnsi="Symbol" w:hint="default"/>
      </w:rPr>
    </w:lvl>
    <w:lvl w:ilvl="1" w:tplc="08090003" w:tentative="1">
      <w:start w:val="1"/>
      <w:numFmt w:val="bullet"/>
      <w:lvlText w:val="o"/>
      <w:lvlJc w:val="left"/>
      <w:pPr>
        <w:ind w:left="2175" w:hanging="360"/>
      </w:pPr>
      <w:rPr>
        <w:rFonts w:ascii="Courier New" w:hAnsi="Courier New" w:cs="Courier New" w:hint="default"/>
      </w:rPr>
    </w:lvl>
    <w:lvl w:ilvl="2" w:tplc="08090005" w:tentative="1">
      <w:start w:val="1"/>
      <w:numFmt w:val="bullet"/>
      <w:lvlText w:val=""/>
      <w:lvlJc w:val="left"/>
      <w:pPr>
        <w:ind w:left="2895" w:hanging="360"/>
      </w:pPr>
      <w:rPr>
        <w:rFonts w:ascii="Wingdings" w:hAnsi="Wingdings" w:hint="default"/>
      </w:rPr>
    </w:lvl>
    <w:lvl w:ilvl="3" w:tplc="08090001" w:tentative="1">
      <w:start w:val="1"/>
      <w:numFmt w:val="bullet"/>
      <w:lvlText w:val=""/>
      <w:lvlJc w:val="left"/>
      <w:pPr>
        <w:ind w:left="3615" w:hanging="360"/>
      </w:pPr>
      <w:rPr>
        <w:rFonts w:ascii="Symbol" w:hAnsi="Symbol" w:hint="default"/>
      </w:rPr>
    </w:lvl>
    <w:lvl w:ilvl="4" w:tplc="08090003" w:tentative="1">
      <w:start w:val="1"/>
      <w:numFmt w:val="bullet"/>
      <w:lvlText w:val="o"/>
      <w:lvlJc w:val="left"/>
      <w:pPr>
        <w:ind w:left="4335" w:hanging="360"/>
      </w:pPr>
      <w:rPr>
        <w:rFonts w:ascii="Courier New" w:hAnsi="Courier New" w:cs="Courier New" w:hint="default"/>
      </w:rPr>
    </w:lvl>
    <w:lvl w:ilvl="5" w:tplc="08090005" w:tentative="1">
      <w:start w:val="1"/>
      <w:numFmt w:val="bullet"/>
      <w:lvlText w:val=""/>
      <w:lvlJc w:val="left"/>
      <w:pPr>
        <w:ind w:left="5055" w:hanging="360"/>
      </w:pPr>
      <w:rPr>
        <w:rFonts w:ascii="Wingdings" w:hAnsi="Wingdings" w:hint="default"/>
      </w:rPr>
    </w:lvl>
    <w:lvl w:ilvl="6" w:tplc="08090001" w:tentative="1">
      <w:start w:val="1"/>
      <w:numFmt w:val="bullet"/>
      <w:lvlText w:val=""/>
      <w:lvlJc w:val="left"/>
      <w:pPr>
        <w:ind w:left="5775" w:hanging="360"/>
      </w:pPr>
      <w:rPr>
        <w:rFonts w:ascii="Symbol" w:hAnsi="Symbol" w:hint="default"/>
      </w:rPr>
    </w:lvl>
    <w:lvl w:ilvl="7" w:tplc="08090003" w:tentative="1">
      <w:start w:val="1"/>
      <w:numFmt w:val="bullet"/>
      <w:lvlText w:val="o"/>
      <w:lvlJc w:val="left"/>
      <w:pPr>
        <w:ind w:left="6495" w:hanging="360"/>
      </w:pPr>
      <w:rPr>
        <w:rFonts w:ascii="Courier New" w:hAnsi="Courier New" w:cs="Courier New" w:hint="default"/>
      </w:rPr>
    </w:lvl>
    <w:lvl w:ilvl="8" w:tplc="08090005" w:tentative="1">
      <w:start w:val="1"/>
      <w:numFmt w:val="bullet"/>
      <w:lvlText w:val=""/>
      <w:lvlJc w:val="left"/>
      <w:pPr>
        <w:ind w:left="7215" w:hanging="360"/>
      </w:pPr>
      <w:rPr>
        <w:rFonts w:ascii="Wingdings" w:hAnsi="Wingdings" w:hint="default"/>
      </w:rPr>
    </w:lvl>
  </w:abstractNum>
  <w:abstractNum w:abstractNumId="11" w15:restartNumberingAfterBreak="0">
    <w:nsid w:val="41B9105B"/>
    <w:multiLevelType w:val="multilevel"/>
    <w:tmpl w:val="6DACC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2211F29"/>
    <w:multiLevelType w:val="hybridMultilevel"/>
    <w:tmpl w:val="2A0A0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EA67C2"/>
    <w:multiLevelType w:val="hybridMultilevel"/>
    <w:tmpl w:val="989AD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34268F"/>
    <w:multiLevelType w:val="hybridMultilevel"/>
    <w:tmpl w:val="2278C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BE24BF"/>
    <w:multiLevelType w:val="hybridMultilevel"/>
    <w:tmpl w:val="180A779C"/>
    <w:lvl w:ilvl="0" w:tplc="3BE64442">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6" w15:restartNumberingAfterBreak="0">
    <w:nsid w:val="5372066B"/>
    <w:multiLevelType w:val="hybridMultilevel"/>
    <w:tmpl w:val="EBBAF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F1C16"/>
    <w:multiLevelType w:val="hybridMultilevel"/>
    <w:tmpl w:val="3EF6D4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5274DBB"/>
    <w:multiLevelType w:val="hybridMultilevel"/>
    <w:tmpl w:val="796A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78B1D07"/>
    <w:multiLevelType w:val="hybridMultilevel"/>
    <w:tmpl w:val="957893B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20" w15:restartNumberingAfterBreak="0">
    <w:nsid w:val="6CA95E25"/>
    <w:multiLevelType w:val="multilevel"/>
    <w:tmpl w:val="1284D16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E44050E"/>
    <w:multiLevelType w:val="hybridMultilevel"/>
    <w:tmpl w:val="3C667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18A1935"/>
    <w:multiLevelType w:val="hybridMultilevel"/>
    <w:tmpl w:val="89E0D4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3152C73"/>
    <w:multiLevelType w:val="hybridMultilevel"/>
    <w:tmpl w:val="D37E3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BA3903"/>
    <w:multiLevelType w:val="hybridMultilevel"/>
    <w:tmpl w:val="E3001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6"/>
  </w:num>
  <w:num w:numId="4">
    <w:abstractNumId w:val="0"/>
  </w:num>
  <w:num w:numId="5">
    <w:abstractNumId w:val="9"/>
  </w:num>
  <w:num w:numId="6">
    <w:abstractNumId w:val="4"/>
  </w:num>
  <w:num w:numId="7">
    <w:abstractNumId w:val="23"/>
  </w:num>
  <w:num w:numId="8">
    <w:abstractNumId w:val="14"/>
  </w:num>
  <w:num w:numId="9">
    <w:abstractNumId w:val="6"/>
  </w:num>
  <w:num w:numId="10">
    <w:abstractNumId w:val="15"/>
  </w:num>
  <w:num w:numId="11">
    <w:abstractNumId w:val="2"/>
  </w:num>
  <w:num w:numId="12">
    <w:abstractNumId w:val="17"/>
  </w:num>
  <w:num w:numId="13">
    <w:abstractNumId w:val="3"/>
  </w:num>
  <w:num w:numId="14">
    <w:abstractNumId w:val="22"/>
  </w:num>
  <w:num w:numId="15">
    <w:abstractNumId w:val="8"/>
  </w:num>
  <w:num w:numId="16">
    <w:abstractNumId w:val="21"/>
  </w:num>
  <w:num w:numId="17">
    <w:abstractNumId w:val="18"/>
  </w:num>
  <w:num w:numId="18">
    <w:abstractNumId w:val="24"/>
  </w:num>
  <w:num w:numId="19">
    <w:abstractNumId w:val="1"/>
  </w:num>
  <w:num w:numId="20">
    <w:abstractNumId w:val="19"/>
  </w:num>
  <w:num w:numId="21">
    <w:abstractNumId w:val="10"/>
  </w:num>
  <w:num w:numId="22">
    <w:abstractNumId w:val="13"/>
  </w:num>
  <w:num w:numId="23">
    <w:abstractNumId w:val="5"/>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zE1t7C0MDMxNDK3MLJQ0lEKTi0uzszPAymwqAUAWhPbLiwAAAA="/>
  </w:docVars>
  <w:rsids>
    <w:rsidRoot w:val="00DB03FE"/>
    <w:rsid w:val="0000090C"/>
    <w:rsid w:val="0002480D"/>
    <w:rsid w:val="00027DE8"/>
    <w:rsid w:val="00047A11"/>
    <w:rsid w:val="0005295A"/>
    <w:rsid w:val="00057C93"/>
    <w:rsid w:val="000710D0"/>
    <w:rsid w:val="00072DD2"/>
    <w:rsid w:val="0009745F"/>
    <w:rsid w:val="000A2E33"/>
    <w:rsid w:val="000A3370"/>
    <w:rsid w:val="000A4E01"/>
    <w:rsid w:val="000A7162"/>
    <w:rsid w:val="000C1D1C"/>
    <w:rsid w:val="000C6EC1"/>
    <w:rsid w:val="000D798B"/>
    <w:rsid w:val="000F4480"/>
    <w:rsid w:val="000F69FB"/>
    <w:rsid w:val="00104837"/>
    <w:rsid w:val="00107823"/>
    <w:rsid w:val="00123DBB"/>
    <w:rsid w:val="00150627"/>
    <w:rsid w:val="001546AB"/>
    <w:rsid w:val="0015764B"/>
    <w:rsid w:val="00167476"/>
    <w:rsid w:val="00172989"/>
    <w:rsid w:val="001746AC"/>
    <w:rsid w:val="00176E0D"/>
    <w:rsid w:val="00177FA2"/>
    <w:rsid w:val="001913C0"/>
    <w:rsid w:val="00196A53"/>
    <w:rsid w:val="00196B7F"/>
    <w:rsid w:val="001A0E7D"/>
    <w:rsid w:val="001A5D4C"/>
    <w:rsid w:val="001B2C7C"/>
    <w:rsid w:val="001B5F18"/>
    <w:rsid w:val="001B6550"/>
    <w:rsid w:val="001C25A0"/>
    <w:rsid w:val="001D08FF"/>
    <w:rsid w:val="001D12A2"/>
    <w:rsid w:val="001E5A0B"/>
    <w:rsid w:val="001F3ED6"/>
    <w:rsid w:val="0020305A"/>
    <w:rsid w:val="00211E98"/>
    <w:rsid w:val="00222902"/>
    <w:rsid w:val="00224BEE"/>
    <w:rsid w:val="002401A8"/>
    <w:rsid w:val="002406C6"/>
    <w:rsid w:val="00254713"/>
    <w:rsid w:val="002602A1"/>
    <w:rsid w:val="00264EDA"/>
    <w:rsid w:val="002745D7"/>
    <w:rsid w:val="0027740A"/>
    <w:rsid w:val="00280002"/>
    <w:rsid w:val="00281381"/>
    <w:rsid w:val="00287678"/>
    <w:rsid w:val="00296D12"/>
    <w:rsid w:val="002A3A91"/>
    <w:rsid w:val="002B0429"/>
    <w:rsid w:val="002B1F8F"/>
    <w:rsid w:val="002B4BCC"/>
    <w:rsid w:val="002B53F1"/>
    <w:rsid w:val="002B6AD9"/>
    <w:rsid w:val="002B736B"/>
    <w:rsid w:val="002C6D35"/>
    <w:rsid w:val="002E094B"/>
    <w:rsid w:val="002E151E"/>
    <w:rsid w:val="00312013"/>
    <w:rsid w:val="003120AA"/>
    <w:rsid w:val="003156C8"/>
    <w:rsid w:val="00315A4B"/>
    <w:rsid w:val="00316C1F"/>
    <w:rsid w:val="00326A3F"/>
    <w:rsid w:val="00326BE6"/>
    <w:rsid w:val="00341EBC"/>
    <w:rsid w:val="00343A9B"/>
    <w:rsid w:val="0034672C"/>
    <w:rsid w:val="003513ED"/>
    <w:rsid w:val="0035665F"/>
    <w:rsid w:val="00362D66"/>
    <w:rsid w:val="00397A2F"/>
    <w:rsid w:val="003A09F5"/>
    <w:rsid w:val="003A7483"/>
    <w:rsid w:val="003A7E5E"/>
    <w:rsid w:val="003B65D6"/>
    <w:rsid w:val="003C4E74"/>
    <w:rsid w:val="003E37E8"/>
    <w:rsid w:val="003E4F93"/>
    <w:rsid w:val="003E6933"/>
    <w:rsid w:val="003F449C"/>
    <w:rsid w:val="00400AD1"/>
    <w:rsid w:val="00404C6A"/>
    <w:rsid w:val="004051B3"/>
    <w:rsid w:val="00415BA3"/>
    <w:rsid w:val="004220BC"/>
    <w:rsid w:val="004334ED"/>
    <w:rsid w:val="004337CF"/>
    <w:rsid w:val="00434AF1"/>
    <w:rsid w:val="00441053"/>
    <w:rsid w:val="00443EB0"/>
    <w:rsid w:val="00456364"/>
    <w:rsid w:val="00457733"/>
    <w:rsid w:val="004657D4"/>
    <w:rsid w:val="00472C85"/>
    <w:rsid w:val="00477ED1"/>
    <w:rsid w:val="00482E30"/>
    <w:rsid w:val="00486910"/>
    <w:rsid w:val="00487D87"/>
    <w:rsid w:val="00493D61"/>
    <w:rsid w:val="004A2C3D"/>
    <w:rsid w:val="004B6331"/>
    <w:rsid w:val="004B7E0E"/>
    <w:rsid w:val="004C5B4C"/>
    <w:rsid w:val="004D3285"/>
    <w:rsid w:val="004E0634"/>
    <w:rsid w:val="004E6D9E"/>
    <w:rsid w:val="004E708D"/>
    <w:rsid w:val="004F2244"/>
    <w:rsid w:val="004F63AD"/>
    <w:rsid w:val="00516206"/>
    <w:rsid w:val="005308B1"/>
    <w:rsid w:val="005336F6"/>
    <w:rsid w:val="00554B59"/>
    <w:rsid w:val="00594888"/>
    <w:rsid w:val="005974E0"/>
    <w:rsid w:val="005A2B4E"/>
    <w:rsid w:val="005B165B"/>
    <w:rsid w:val="005B7ED6"/>
    <w:rsid w:val="005C2739"/>
    <w:rsid w:val="005C7463"/>
    <w:rsid w:val="005D1FEB"/>
    <w:rsid w:val="005D2D5A"/>
    <w:rsid w:val="005D6491"/>
    <w:rsid w:val="005E766D"/>
    <w:rsid w:val="00615243"/>
    <w:rsid w:val="0062425D"/>
    <w:rsid w:val="0062603F"/>
    <w:rsid w:val="00636257"/>
    <w:rsid w:val="0063695D"/>
    <w:rsid w:val="00646E93"/>
    <w:rsid w:val="00664F7D"/>
    <w:rsid w:val="006651C4"/>
    <w:rsid w:val="00670730"/>
    <w:rsid w:val="006832F5"/>
    <w:rsid w:val="00687221"/>
    <w:rsid w:val="0069102D"/>
    <w:rsid w:val="0069333A"/>
    <w:rsid w:val="00695072"/>
    <w:rsid w:val="00697975"/>
    <w:rsid w:val="006A4B7A"/>
    <w:rsid w:val="006A4BEF"/>
    <w:rsid w:val="006B2EB7"/>
    <w:rsid w:val="006B6A19"/>
    <w:rsid w:val="006C1264"/>
    <w:rsid w:val="00703AE2"/>
    <w:rsid w:val="0071094B"/>
    <w:rsid w:val="00724D48"/>
    <w:rsid w:val="00727AD4"/>
    <w:rsid w:val="00730E4A"/>
    <w:rsid w:val="00741DC0"/>
    <w:rsid w:val="00751875"/>
    <w:rsid w:val="00773C73"/>
    <w:rsid w:val="00773FB3"/>
    <w:rsid w:val="00774724"/>
    <w:rsid w:val="00780103"/>
    <w:rsid w:val="007B7FA8"/>
    <w:rsid w:val="007C4734"/>
    <w:rsid w:val="007D7786"/>
    <w:rsid w:val="007F76CF"/>
    <w:rsid w:val="00804CA6"/>
    <w:rsid w:val="008072C8"/>
    <w:rsid w:val="00810D18"/>
    <w:rsid w:val="008153CC"/>
    <w:rsid w:val="00816596"/>
    <w:rsid w:val="0081758B"/>
    <w:rsid w:val="0082625A"/>
    <w:rsid w:val="0083441E"/>
    <w:rsid w:val="00836D31"/>
    <w:rsid w:val="00840736"/>
    <w:rsid w:val="0086321A"/>
    <w:rsid w:val="00864FF8"/>
    <w:rsid w:val="008701BE"/>
    <w:rsid w:val="00875DD3"/>
    <w:rsid w:val="008816AC"/>
    <w:rsid w:val="0089264A"/>
    <w:rsid w:val="008932C7"/>
    <w:rsid w:val="008A0C76"/>
    <w:rsid w:val="008A1EA3"/>
    <w:rsid w:val="008B002C"/>
    <w:rsid w:val="008B1C63"/>
    <w:rsid w:val="008B292C"/>
    <w:rsid w:val="008C08A1"/>
    <w:rsid w:val="008E3F1A"/>
    <w:rsid w:val="008E422E"/>
    <w:rsid w:val="008E423A"/>
    <w:rsid w:val="008E486A"/>
    <w:rsid w:val="008E5934"/>
    <w:rsid w:val="008E6F6A"/>
    <w:rsid w:val="008F04CA"/>
    <w:rsid w:val="008F477C"/>
    <w:rsid w:val="00900428"/>
    <w:rsid w:val="009057E1"/>
    <w:rsid w:val="00924EC2"/>
    <w:rsid w:val="009260C1"/>
    <w:rsid w:val="00931FA5"/>
    <w:rsid w:val="00935914"/>
    <w:rsid w:val="00935F9D"/>
    <w:rsid w:val="00950DAB"/>
    <w:rsid w:val="00962BFA"/>
    <w:rsid w:val="009637AF"/>
    <w:rsid w:val="0096429D"/>
    <w:rsid w:val="009651D2"/>
    <w:rsid w:val="00971E50"/>
    <w:rsid w:val="00981285"/>
    <w:rsid w:val="00984119"/>
    <w:rsid w:val="009A60A7"/>
    <w:rsid w:val="009A773D"/>
    <w:rsid w:val="009B083B"/>
    <w:rsid w:val="009B65BF"/>
    <w:rsid w:val="009B7A32"/>
    <w:rsid w:val="009C2AB5"/>
    <w:rsid w:val="009C2C47"/>
    <w:rsid w:val="009E1AB7"/>
    <w:rsid w:val="009E5342"/>
    <w:rsid w:val="00A01509"/>
    <w:rsid w:val="00A030AC"/>
    <w:rsid w:val="00A05CFF"/>
    <w:rsid w:val="00A078C5"/>
    <w:rsid w:val="00A16366"/>
    <w:rsid w:val="00A24815"/>
    <w:rsid w:val="00A3070D"/>
    <w:rsid w:val="00A35222"/>
    <w:rsid w:val="00A50503"/>
    <w:rsid w:val="00A73658"/>
    <w:rsid w:val="00A7418D"/>
    <w:rsid w:val="00A7588B"/>
    <w:rsid w:val="00A87F3C"/>
    <w:rsid w:val="00AB1059"/>
    <w:rsid w:val="00AB3317"/>
    <w:rsid w:val="00AB6213"/>
    <w:rsid w:val="00AC2F87"/>
    <w:rsid w:val="00AC6681"/>
    <w:rsid w:val="00AD6423"/>
    <w:rsid w:val="00AE1BC4"/>
    <w:rsid w:val="00AE6678"/>
    <w:rsid w:val="00AE6C59"/>
    <w:rsid w:val="00AE7150"/>
    <w:rsid w:val="00B01CD8"/>
    <w:rsid w:val="00B13F6E"/>
    <w:rsid w:val="00B2042D"/>
    <w:rsid w:val="00B26852"/>
    <w:rsid w:val="00B2760E"/>
    <w:rsid w:val="00B30CDA"/>
    <w:rsid w:val="00B353D4"/>
    <w:rsid w:val="00B4574E"/>
    <w:rsid w:val="00B56314"/>
    <w:rsid w:val="00B63C94"/>
    <w:rsid w:val="00B73B07"/>
    <w:rsid w:val="00B8517B"/>
    <w:rsid w:val="00B86872"/>
    <w:rsid w:val="00BA1700"/>
    <w:rsid w:val="00BA2CC6"/>
    <w:rsid w:val="00BB359E"/>
    <w:rsid w:val="00BC6F0B"/>
    <w:rsid w:val="00BC776D"/>
    <w:rsid w:val="00BE6F40"/>
    <w:rsid w:val="00BF04F4"/>
    <w:rsid w:val="00BF3E6F"/>
    <w:rsid w:val="00C047A7"/>
    <w:rsid w:val="00C07469"/>
    <w:rsid w:val="00C25930"/>
    <w:rsid w:val="00C26FC4"/>
    <w:rsid w:val="00C323B1"/>
    <w:rsid w:val="00C4374C"/>
    <w:rsid w:val="00C47987"/>
    <w:rsid w:val="00C500E5"/>
    <w:rsid w:val="00C51C82"/>
    <w:rsid w:val="00C614AF"/>
    <w:rsid w:val="00C67451"/>
    <w:rsid w:val="00C80954"/>
    <w:rsid w:val="00C85477"/>
    <w:rsid w:val="00CA66B9"/>
    <w:rsid w:val="00CB6207"/>
    <w:rsid w:val="00CC0229"/>
    <w:rsid w:val="00CD6D66"/>
    <w:rsid w:val="00CE3287"/>
    <w:rsid w:val="00CE391F"/>
    <w:rsid w:val="00CE6F83"/>
    <w:rsid w:val="00D0517C"/>
    <w:rsid w:val="00D1125F"/>
    <w:rsid w:val="00D127CB"/>
    <w:rsid w:val="00D20474"/>
    <w:rsid w:val="00D22670"/>
    <w:rsid w:val="00D323CB"/>
    <w:rsid w:val="00D42CDC"/>
    <w:rsid w:val="00D47FE1"/>
    <w:rsid w:val="00D54920"/>
    <w:rsid w:val="00D614D4"/>
    <w:rsid w:val="00D6239F"/>
    <w:rsid w:val="00D62720"/>
    <w:rsid w:val="00D63B77"/>
    <w:rsid w:val="00D655E3"/>
    <w:rsid w:val="00D66B24"/>
    <w:rsid w:val="00D809AA"/>
    <w:rsid w:val="00D8454F"/>
    <w:rsid w:val="00D86F63"/>
    <w:rsid w:val="00D96451"/>
    <w:rsid w:val="00DA6376"/>
    <w:rsid w:val="00DA7C56"/>
    <w:rsid w:val="00DB03FE"/>
    <w:rsid w:val="00DD2AE2"/>
    <w:rsid w:val="00DD4E2B"/>
    <w:rsid w:val="00E0057A"/>
    <w:rsid w:val="00E158B1"/>
    <w:rsid w:val="00E261AB"/>
    <w:rsid w:val="00E2639F"/>
    <w:rsid w:val="00E27E58"/>
    <w:rsid w:val="00E41A63"/>
    <w:rsid w:val="00E41BA9"/>
    <w:rsid w:val="00E44129"/>
    <w:rsid w:val="00E44C8D"/>
    <w:rsid w:val="00E568C2"/>
    <w:rsid w:val="00E60D6C"/>
    <w:rsid w:val="00E70C1C"/>
    <w:rsid w:val="00E75937"/>
    <w:rsid w:val="00E75FCF"/>
    <w:rsid w:val="00E9003A"/>
    <w:rsid w:val="00E9308B"/>
    <w:rsid w:val="00E946AB"/>
    <w:rsid w:val="00E96221"/>
    <w:rsid w:val="00EA758F"/>
    <w:rsid w:val="00EB3A86"/>
    <w:rsid w:val="00EB426B"/>
    <w:rsid w:val="00EB44E1"/>
    <w:rsid w:val="00EB4F3D"/>
    <w:rsid w:val="00EB71E2"/>
    <w:rsid w:val="00EC199D"/>
    <w:rsid w:val="00EC642C"/>
    <w:rsid w:val="00ED466E"/>
    <w:rsid w:val="00EE4A72"/>
    <w:rsid w:val="00EE4CAE"/>
    <w:rsid w:val="00EE79BE"/>
    <w:rsid w:val="00F016F6"/>
    <w:rsid w:val="00F07941"/>
    <w:rsid w:val="00F11F11"/>
    <w:rsid w:val="00F12473"/>
    <w:rsid w:val="00F13FCC"/>
    <w:rsid w:val="00F16F44"/>
    <w:rsid w:val="00F32AEA"/>
    <w:rsid w:val="00F42E37"/>
    <w:rsid w:val="00F4486E"/>
    <w:rsid w:val="00F47D95"/>
    <w:rsid w:val="00F704C8"/>
    <w:rsid w:val="00F71E3A"/>
    <w:rsid w:val="00F74C12"/>
    <w:rsid w:val="00F7500F"/>
    <w:rsid w:val="00F75C5D"/>
    <w:rsid w:val="00F95195"/>
    <w:rsid w:val="00FA42EB"/>
    <w:rsid w:val="00FB15B8"/>
    <w:rsid w:val="00FB57B2"/>
    <w:rsid w:val="00FC2876"/>
    <w:rsid w:val="00FE2B58"/>
    <w:rsid w:val="00FE5DE3"/>
    <w:rsid w:val="00FF1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02368871"/>
  <w15:docId w15:val="{37D2553A-2F37-4CC7-9A61-DCC5F662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3FE"/>
  </w:style>
  <w:style w:type="paragraph" w:styleId="Heading1">
    <w:name w:val="heading 1"/>
    <w:basedOn w:val="Normal"/>
    <w:next w:val="Normal"/>
    <w:link w:val="Heading1Char"/>
    <w:uiPriority w:val="9"/>
    <w:qFormat/>
    <w:rsid w:val="00D809AA"/>
    <w:pPr>
      <w:keepNext/>
      <w:keepLines/>
      <w:spacing w:before="240" w:after="0"/>
      <w:outlineLvl w:val="0"/>
    </w:pPr>
    <w:rPr>
      <w:rFonts w:asciiTheme="majorHAnsi" w:eastAsiaTheme="majorEastAsia" w:hAnsiTheme="majorHAnsi" w:cstheme="majorBidi"/>
      <w:color w:val="2F2F30" w:themeColor="accent1" w:themeShade="BF"/>
      <w:sz w:val="32"/>
      <w:szCs w:val="32"/>
    </w:rPr>
  </w:style>
  <w:style w:type="paragraph" w:styleId="Heading2">
    <w:name w:val="heading 2"/>
    <w:basedOn w:val="Normal"/>
    <w:next w:val="Normal"/>
    <w:link w:val="Heading2Char"/>
    <w:uiPriority w:val="9"/>
    <w:semiHidden/>
    <w:unhideWhenUsed/>
    <w:qFormat/>
    <w:rsid w:val="00D614D4"/>
    <w:pPr>
      <w:keepNext/>
      <w:keepLines/>
      <w:spacing w:before="40" w:after="0"/>
      <w:outlineLvl w:val="1"/>
    </w:pPr>
    <w:rPr>
      <w:rFonts w:asciiTheme="majorHAnsi" w:eastAsiaTheme="majorEastAsia" w:hAnsiTheme="majorHAnsi" w:cstheme="majorBidi"/>
      <w:color w:val="2F2F30"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0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DB03FE"/>
    <w:pPr>
      <w:ind w:left="720"/>
      <w:contextualSpacing/>
    </w:pPr>
  </w:style>
  <w:style w:type="table" w:styleId="LightGrid">
    <w:name w:val="Light Grid"/>
    <w:basedOn w:val="TableNormal"/>
    <w:uiPriority w:val="62"/>
    <w:rsid w:val="00DB03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F2F2F2" w:themeFill="background1" w:themeFillShade="F2"/>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Header">
    <w:name w:val="header"/>
    <w:basedOn w:val="Normal"/>
    <w:link w:val="HeaderChar"/>
    <w:uiPriority w:val="99"/>
    <w:unhideWhenUsed/>
    <w:rsid w:val="00DB03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03FE"/>
  </w:style>
  <w:style w:type="character" w:styleId="CommentReference">
    <w:name w:val="annotation reference"/>
    <w:basedOn w:val="DefaultParagraphFont"/>
    <w:uiPriority w:val="99"/>
    <w:semiHidden/>
    <w:unhideWhenUsed/>
    <w:rsid w:val="00264EDA"/>
    <w:rPr>
      <w:sz w:val="16"/>
      <w:szCs w:val="16"/>
    </w:rPr>
  </w:style>
  <w:style w:type="paragraph" w:styleId="CommentText">
    <w:name w:val="annotation text"/>
    <w:basedOn w:val="Normal"/>
    <w:link w:val="CommentTextChar"/>
    <w:uiPriority w:val="99"/>
    <w:unhideWhenUsed/>
    <w:rsid w:val="00264EDA"/>
    <w:pPr>
      <w:spacing w:line="240" w:lineRule="auto"/>
    </w:pPr>
    <w:rPr>
      <w:sz w:val="20"/>
      <w:szCs w:val="20"/>
    </w:rPr>
  </w:style>
  <w:style w:type="character" w:customStyle="1" w:styleId="CommentTextChar">
    <w:name w:val="Comment Text Char"/>
    <w:basedOn w:val="DefaultParagraphFont"/>
    <w:link w:val="CommentText"/>
    <w:uiPriority w:val="99"/>
    <w:rsid w:val="00264EDA"/>
    <w:rPr>
      <w:sz w:val="20"/>
      <w:szCs w:val="20"/>
    </w:rPr>
  </w:style>
  <w:style w:type="paragraph" w:styleId="CommentSubject">
    <w:name w:val="annotation subject"/>
    <w:basedOn w:val="CommentText"/>
    <w:next w:val="CommentText"/>
    <w:link w:val="CommentSubjectChar"/>
    <w:uiPriority w:val="99"/>
    <w:semiHidden/>
    <w:unhideWhenUsed/>
    <w:rsid w:val="00264EDA"/>
    <w:rPr>
      <w:b/>
      <w:bCs/>
    </w:rPr>
  </w:style>
  <w:style w:type="character" w:customStyle="1" w:styleId="CommentSubjectChar">
    <w:name w:val="Comment Subject Char"/>
    <w:basedOn w:val="CommentTextChar"/>
    <w:link w:val="CommentSubject"/>
    <w:uiPriority w:val="99"/>
    <w:semiHidden/>
    <w:rsid w:val="00264EDA"/>
    <w:rPr>
      <w:b/>
      <w:bCs/>
      <w:sz w:val="20"/>
      <w:szCs w:val="20"/>
    </w:rPr>
  </w:style>
  <w:style w:type="paragraph" w:styleId="BalloonText">
    <w:name w:val="Balloon Text"/>
    <w:basedOn w:val="Normal"/>
    <w:link w:val="BalloonTextChar"/>
    <w:uiPriority w:val="99"/>
    <w:semiHidden/>
    <w:unhideWhenUsed/>
    <w:rsid w:val="00264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EDA"/>
    <w:rPr>
      <w:rFonts w:ascii="Tahoma" w:hAnsi="Tahoma" w:cs="Tahoma"/>
      <w:sz w:val="16"/>
      <w:szCs w:val="16"/>
    </w:rPr>
  </w:style>
  <w:style w:type="paragraph" w:styleId="Footer">
    <w:name w:val="footer"/>
    <w:basedOn w:val="Normal"/>
    <w:link w:val="FooterChar"/>
    <w:uiPriority w:val="99"/>
    <w:unhideWhenUsed/>
    <w:rsid w:val="007747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724"/>
  </w:style>
  <w:style w:type="character" w:styleId="Hyperlink">
    <w:name w:val="Hyperlink"/>
    <w:basedOn w:val="DefaultParagraphFont"/>
    <w:uiPriority w:val="99"/>
    <w:unhideWhenUsed/>
    <w:rsid w:val="00FC2876"/>
    <w:rPr>
      <w:color w:val="0000FF" w:themeColor="hyperlink"/>
      <w:u w:val="single"/>
    </w:rPr>
  </w:style>
  <w:style w:type="character" w:styleId="FollowedHyperlink">
    <w:name w:val="FollowedHyperlink"/>
    <w:basedOn w:val="DefaultParagraphFont"/>
    <w:uiPriority w:val="99"/>
    <w:semiHidden/>
    <w:unhideWhenUsed/>
    <w:rsid w:val="00931FA5"/>
    <w:rPr>
      <w:color w:val="0000FF" w:themeColor="followedHyperlink"/>
      <w:u w:val="single"/>
    </w:rPr>
  </w:style>
  <w:style w:type="character" w:customStyle="1" w:styleId="Heading1Char">
    <w:name w:val="Heading 1 Char"/>
    <w:basedOn w:val="DefaultParagraphFont"/>
    <w:link w:val="Heading1"/>
    <w:uiPriority w:val="9"/>
    <w:rsid w:val="00D809AA"/>
    <w:rPr>
      <w:rFonts w:asciiTheme="majorHAnsi" w:eastAsiaTheme="majorEastAsia" w:hAnsiTheme="majorHAnsi" w:cstheme="majorBidi"/>
      <w:color w:val="2F2F30" w:themeColor="accent1" w:themeShade="BF"/>
      <w:sz w:val="32"/>
      <w:szCs w:val="32"/>
    </w:rPr>
  </w:style>
  <w:style w:type="character" w:customStyle="1" w:styleId="UnresolvedMention">
    <w:name w:val="Unresolved Mention"/>
    <w:basedOn w:val="DefaultParagraphFont"/>
    <w:uiPriority w:val="99"/>
    <w:semiHidden/>
    <w:unhideWhenUsed/>
    <w:rsid w:val="00BC6F0B"/>
    <w:rPr>
      <w:color w:val="605E5C"/>
      <w:shd w:val="clear" w:color="auto" w:fill="E1DFDD"/>
    </w:rPr>
  </w:style>
  <w:style w:type="paragraph" w:styleId="Revision">
    <w:name w:val="Revision"/>
    <w:hidden/>
    <w:uiPriority w:val="99"/>
    <w:semiHidden/>
    <w:rsid w:val="005B7ED6"/>
    <w:pPr>
      <w:spacing w:after="0" w:line="240" w:lineRule="auto"/>
    </w:pPr>
  </w:style>
  <w:style w:type="paragraph" w:styleId="NormalWeb">
    <w:name w:val="Normal (Web)"/>
    <w:basedOn w:val="Normal"/>
    <w:uiPriority w:val="99"/>
    <w:unhideWhenUsed/>
    <w:rsid w:val="00072DD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D614D4"/>
    <w:rPr>
      <w:rFonts w:asciiTheme="majorHAnsi" w:eastAsiaTheme="majorEastAsia" w:hAnsiTheme="majorHAnsi" w:cstheme="majorBidi"/>
      <w:color w:val="2F2F30"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8174">
      <w:bodyDiv w:val="1"/>
      <w:marLeft w:val="0"/>
      <w:marRight w:val="0"/>
      <w:marTop w:val="0"/>
      <w:marBottom w:val="0"/>
      <w:divBdr>
        <w:top w:val="none" w:sz="0" w:space="0" w:color="auto"/>
        <w:left w:val="none" w:sz="0" w:space="0" w:color="auto"/>
        <w:bottom w:val="none" w:sz="0" w:space="0" w:color="auto"/>
        <w:right w:val="none" w:sz="0" w:space="0" w:color="auto"/>
      </w:divBdr>
    </w:div>
    <w:div w:id="244723741">
      <w:bodyDiv w:val="1"/>
      <w:marLeft w:val="0"/>
      <w:marRight w:val="0"/>
      <w:marTop w:val="0"/>
      <w:marBottom w:val="0"/>
      <w:divBdr>
        <w:top w:val="none" w:sz="0" w:space="0" w:color="auto"/>
        <w:left w:val="none" w:sz="0" w:space="0" w:color="auto"/>
        <w:bottom w:val="none" w:sz="0" w:space="0" w:color="auto"/>
        <w:right w:val="none" w:sz="0" w:space="0" w:color="auto"/>
      </w:divBdr>
    </w:div>
    <w:div w:id="297036286">
      <w:bodyDiv w:val="1"/>
      <w:marLeft w:val="0"/>
      <w:marRight w:val="0"/>
      <w:marTop w:val="0"/>
      <w:marBottom w:val="0"/>
      <w:divBdr>
        <w:top w:val="none" w:sz="0" w:space="0" w:color="auto"/>
        <w:left w:val="none" w:sz="0" w:space="0" w:color="auto"/>
        <w:bottom w:val="none" w:sz="0" w:space="0" w:color="auto"/>
        <w:right w:val="none" w:sz="0" w:space="0" w:color="auto"/>
      </w:divBdr>
    </w:div>
    <w:div w:id="359666074">
      <w:bodyDiv w:val="1"/>
      <w:marLeft w:val="0"/>
      <w:marRight w:val="0"/>
      <w:marTop w:val="0"/>
      <w:marBottom w:val="0"/>
      <w:divBdr>
        <w:top w:val="none" w:sz="0" w:space="0" w:color="auto"/>
        <w:left w:val="none" w:sz="0" w:space="0" w:color="auto"/>
        <w:bottom w:val="none" w:sz="0" w:space="0" w:color="auto"/>
        <w:right w:val="none" w:sz="0" w:space="0" w:color="auto"/>
      </w:divBdr>
    </w:div>
    <w:div w:id="558905249">
      <w:bodyDiv w:val="1"/>
      <w:marLeft w:val="0"/>
      <w:marRight w:val="0"/>
      <w:marTop w:val="0"/>
      <w:marBottom w:val="0"/>
      <w:divBdr>
        <w:top w:val="none" w:sz="0" w:space="0" w:color="auto"/>
        <w:left w:val="none" w:sz="0" w:space="0" w:color="auto"/>
        <w:bottom w:val="none" w:sz="0" w:space="0" w:color="auto"/>
        <w:right w:val="none" w:sz="0" w:space="0" w:color="auto"/>
      </w:divBdr>
    </w:div>
    <w:div w:id="625618781">
      <w:bodyDiv w:val="1"/>
      <w:marLeft w:val="0"/>
      <w:marRight w:val="0"/>
      <w:marTop w:val="0"/>
      <w:marBottom w:val="0"/>
      <w:divBdr>
        <w:top w:val="none" w:sz="0" w:space="0" w:color="auto"/>
        <w:left w:val="none" w:sz="0" w:space="0" w:color="auto"/>
        <w:bottom w:val="none" w:sz="0" w:space="0" w:color="auto"/>
        <w:right w:val="none" w:sz="0" w:space="0" w:color="auto"/>
      </w:divBdr>
    </w:div>
    <w:div w:id="783771210">
      <w:bodyDiv w:val="1"/>
      <w:marLeft w:val="0"/>
      <w:marRight w:val="0"/>
      <w:marTop w:val="0"/>
      <w:marBottom w:val="0"/>
      <w:divBdr>
        <w:top w:val="none" w:sz="0" w:space="0" w:color="auto"/>
        <w:left w:val="none" w:sz="0" w:space="0" w:color="auto"/>
        <w:bottom w:val="none" w:sz="0" w:space="0" w:color="auto"/>
        <w:right w:val="none" w:sz="0" w:space="0" w:color="auto"/>
      </w:divBdr>
    </w:div>
    <w:div w:id="931469160">
      <w:bodyDiv w:val="1"/>
      <w:marLeft w:val="0"/>
      <w:marRight w:val="0"/>
      <w:marTop w:val="0"/>
      <w:marBottom w:val="0"/>
      <w:divBdr>
        <w:top w:val="none" w:sz="0" w:space="0" w:color="auto"/>
        <w:left w:val="none" w:sz="0" w:space="0" w:color="auto"/>
        <w:bottom w:val="none" w:sz="0" w:space="0" w:color="auto"/>
        <w:right w:val="none" w:sz="0" w:space="0" w:color="auto"/>
      </w:divBdr>
    </w:div>
    <w:div w:id="1429740980">
      <w:bodyDiv w:val="1"/>
      <w:marLeft w:val="0"/>
      <w:marRight w:val="0"/>
      <w:marTop w:val="0"/>
      <w:marBottom w:val="0"/>
      <w:divBdr>
        <w:top w:val="none" w:sz="0" w:space="0" w:color="auto"/>
        <w:left w:val="none" w:sz="0" w:space="0" w:color="auto"/>
        <w:bottom w:val="none" w:sz="0" w:space="0" w:color="auto"/>
        <w:right w:val="none" w:sz="0" w:space="0" w:color="auto"/>
      </w:divBdr>
    </w:div>
    <w:div w:id="1440250749">
      <w:bodyDiv w:val="1"/>
      <w:marLeft w:val="0"/>
      <w:marRight w:val="0"/>
      <w:marTop w:val="0"/>
      <w:marBottom w:val="0"/>
      <w:divBdr>
        <w:top w:val="none" w:sz="0" w:space="0" w:color="auto"/>
        <w:left w:val="none" w:sz="0" w:space="0" w:color="auto"/>
        <w:bottom w:val="none" w:sz="0" w:space="0" w:color="auto"/>
        <w:right w:val="none" w:sz="0" w:space="0" w:color="auto"/>
      </w:divBdr>
    </w:div>
    <w:div w:id="1574706715">
      <w:bodyDiv w:val="1"/>
      <w:marLeft w:val="0"/>
      <w:marRight w:val="0"/>
      <w:marTop w:val="0"/>
      <w:marBottom w:val="0"/>
      <w:divBdr>
        <w:top w:val="none" w:sz="0" w:space="0" w:color="auto"/>
        <w:left w:val="none" w:sz="0" w:space="0" w:color="auto"/>
        <w:bottom w:val="none" w:sz="0" w:space="0" w:color="auto"/>
        <w:right w:val="none" w:sz="0" w:space="0" w:color="auto"/>
      </w:divBdr>
    </w:div>
    <w:div w:id="18579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heSchoolBus">
      <a:dk1>
        <a:sysClr val="windowText" lastClr="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7EF9A-A915-4201-AE5D-AF283BC15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5</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Needham</dc:creator>
  <cp:lastModifiedBy>Sabia Begum</cp:lastModifiedBy>
  <cp:revision>14</cp:revision>
  <dcterms:created xsi:type="dcterms:W3CDTF">2021-01-06T14:16:00Z</dcterms:created>
  <dcterms:modified xsi:type="dcterms:W3CDTF">2021-01-07T13:22:00Z</dcterms:modified>
</cp:coreProperties>
</file>